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After-Action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Incident / exercise date: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[date]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  Facilitator / IR lead (role):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[role]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[the incident or exercise reviewed, and the Incident Log / Register entry it draws from]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[role]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Cs/>
                <w:sz w:val="24"/>
                <w:szCs w:val="24"/>
              </w:rPr>
              <w:t xml:space="preserve">Restricted / CJIS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 Minimum for Report / Assessment artifacts. Append / CJIS when the incident involved CJIS-regulated data; raise to Confidential if the report names individuals as subjects.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template is ready to adopt. Replace every [BRACKETED] field with your agency’s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«Three or four sentences a director can act on: what was assessed, the headline result, the most important finding. Write this last.»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report captures what the Agency learned from a security incident or exercise: what happened, what worked, what did not, and the corrective actions taken. One report is completed per incident or exercise, drawing the event from the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Event Summary</w:t>
      </w:r>
    </w:p>
    <w:p>
      <w:pPr>
        <w:spacing w:after="60"/>
      </w:pPr>
      <w:r>
        <w:rPr>
          <w:i/>
          <w:color w:val="595959"/>
        </w:rPr>
        <w:t xml:space="preserve">« What happened, when it was detected, what was affected, and how it was handled. Keep it factual and brief; the detail lives in the Incident Log / Register. »</w:t>
      </w:r>
    </w:p>
    <w:p>
      <w:pPr>
        <w:spacing w:after="60"/>
      </w:pPr>
      <w:r>
        <w:rPr/>
        <w:t xml:space="preserve">[Two to four sentences: the nature of the incident or exercise, when it was detected or run, the systems and data involved, the response actions taken, and the outcome. Reference the Incident Log / Register entry it draws from.]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Observations &amp; Findings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One row per observation. Mark each a Strength (what worked, sustain it) or a Gap (what failed, fix it). Severity applies to gaps.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Observation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Type (Strength / Gap)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[what worked or what failed]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[Strength / Gap]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[High / Med / Low / NA]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[recommendation, or the practice to sustain]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[observation]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[Strength / Gap]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[High / Med / Low / NA]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[recommendation]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[add observations as needed]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Remediation Tracking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Each gap's owner, action, due date, and status. Mirror open items into the Risk / Finding Register (POA&amp;M); do not keep two trackers. Lessons also feed the IRP Revision History / Update Log.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Observation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[corrective action]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[corrective action]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director writes a short report after any real incident or drill: what happened, what worked, what to fix, and who owns each fix. A page is enough. Corrective actions go straight into the risk register.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coordinator runs a brief after-action review, records strengths and gaps, and tracks corrective actions to closure with the director.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security role facilitates a structured after-action review, captures observations by severity, and drives corrective actions through the finding register, feeding lessons back into the incident response plan.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an after-action report may describe an incident involving criminal justice information reached in Indiana through IDACS. Apply the FBI CJIS Security Policy v5.9 and 240 IAC 5 to this record's handling and storage in addition to the controls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NENA-STA-040.2-2024: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NIST SP 800-53 Rev. 5: CA-2, CA-7, IR-4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Indiana statutes and administrative code: HEA 1169 (2021), cyber incident reporting to IOT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/>
                <w:iCs/>
                <w:sz w:val="24"/>
                <w:szCs w:val="24"/>
              </w:rPr>
              <w:t xml:space="preserve">CJIS Security Policy v5.9: §5.3 (Incident Response) (if CJIS-regulated data was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[Facilitator / IR lead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[Reviewed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sz w:val="24"/>
                <w:szCs w:val="24"/>
              </w:rPr>
              <w:t xml:space="preserve">Confirm this report draws its incident facts from the Incident Log / Register, that corrective actions are mirrored to the Risk / Finding Register rather than tracked twice, and that lessons feed the IRP Revision History / Update Log. Raise toward Confidential if the report names individuals as subjects.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sz w:val="24"/>
                <w:szCs w:val="24"/>
              </w:rPr>
              <w:t xml:space="preserve">If a provider handles CJIS-regulated data (reached in Indiana through IDACS), add the applicable CJIS Security Policy section to the Source Authority. Agency-supplied values in brackets: [Agency Name], assessor and owner roles, provider names, dates, risk ratings, findings, and monitoring methods.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After-Action Reports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