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rFonts w:ascii="Aptos" w:cs="Aptos" w:eastAsia="Aptos" w:hAnsi="Aptos"/>
          <w:b/>
          <w:bCs/>
          <w:color w:val="1B3A5C"/>
          <w:sz w:val="40"/>
          <w:szCs w:val="40"/>
        </w:rPr>
        <w:t xml:space="preserve">Network Monitoring Policy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ptos" w:cs="Aptos" w:eastAsia="Aptos" w:hAnsi="Aptos"/>
                <w:b/>
                <w:bCs/>
                <w:i w:val="false"/>
                <w:iCs w:val="false"/>
                <w:sz w:val="24"/>
                <w:szCs w:val="24"/>
              </w:rPr>
              <w:t xml:space="preserve">Authority: </w:t>
            </w: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Adopted by </w:t>
            </w:r>
            <w:r>
              <w:rPr>
                <w:rFonts w:ascii="Aptos" w:cs="Aptos" w:eastAsia="Aptos" w:hAnsi="Aptos"/>
                <w:b/>
                <w:bCs/>
                <w:i w:val="false"/>
                <w:iCs w:val="false"/>
                <w:sz w:val="24"/>
                <w:szCs w:val="24"/>
              </w:rPr>
              <w:t xml:space="preserve">[Agency Name]</w:t>
            </w: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 under the authority of </w:t>
            </w:r>
            <w:r>
              <w:rPr>
                <w:rFonts w:ascii="Aptos" w:cs="Aptos" w:eastAsia="Aptos" w:hAnsi="Aptos"/>
                <w:b/>
                <w:bCs/>
                <w:i w:val="false"/>
                <w:iCs w:val="false"/>
                <w:sz w:val="24"/>
                <w:szCs w:val="24"/>
              </w:rPr>
              <w:t xml:space="preserve">[signing official / title]</w:t>
            </w: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.</w:t>
            </w:r>
          </w:p>
          <w:p>
            <w:pPr>
              <w:spacing w:after="60"/>
            </w:pPr>
            <w:r>
              <w:rPr>
                <w:rFonts w:ascii="Aptos" w:cs="Aptos" w:eastAsia="Aptos" w:hAnsi="Aptos"/>
                <w:b/>
                <w:bCs/>
                <w:i w:val="false"/>
                <w:iCs w:val="false"/>
                <w:sz w:val="24"/>
                <w:szCs w:val="24"/>
              </w:rPr>
              <w:t xml:space="preserve">Version: </w:t>
            </w: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[#]    </w:t>
            </w:r>
            <w:r>
              <w:rPr>
                <w:rFonts w:ascii="Aptos" w:cs="Aptos" w:eastAsia="Aptos" w:hAnsi="Aptos"/>
                <w:b/>
                <w:bCs/>
                <w:i w:val="false"/>
                <w:iCs w:val="false"/>
                <w:sz w:val="24"/>
                <w:szCs w:val="24"/>
              </w:rPr>
              <w:t xml:space="preserve">Effective Date: </w:t>
            </w: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[Date]    </w:t>
            </w:r>
            <w:r>
              <w:rPr>
                <w:rFonts w:ascii="Aptos" w:cs="Aptos" w:eastAsia="Aptos" w:hAnsi="Aptos"/>
                <w:b/>
                <w:bCs/>
                <w:i w:val="false"/>
                <w:iCs w:val="false"/>
                <w:sz w:val="24"/>
                <w:szCs w:val="24"/>
              </w:rPr>
              <w:t xml:space="preserve">Next Review: </w:t>
            </w: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[Date]</w:t>
            </w:r>
          </w:p>
          <w:p>
            <w:pPr>
              <w:spacing w:after="60"/>
            </w:pPr>
            <w:r>
              <w:rPr>
                <w:rFonts w:ascii="Aptos" w:cs="Aptos" w:eastAsia="Aptos" w:hAnsi="Aptos"/>
                <w:b/>
                <w:bCs/>
                <w:i w:val="false"/>
                <w:iCs w:val="false"/>
                <w:sz w:val="24"/>
                <w:szCs w:val="24"/>
              </w:rPr>
              <w:t xml:space="preserve">Owner: </w:t>
            </w: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[Role title]   </w:t>
            </w:r>
            <w:r>
              <w:rPr>
                <w:rFonts w:ascii="Aptos" w:cs="Aptos" w:eastAsia="Aptos" w:hAnsi="Aptos"/>
                <w:b w:val="false"/>
                <w:bCs w:val="false"/>
                <w:i/>
                <w:iCs/>
                <w:color w:val="595959"/>
                <w:sz w:val="24"/>
                <w:szCs w:val="24"/>
              </w:rPr>
              <w:t xml:space="preserve">«use a role, not a person’s name.»</w:t>
            </w:r>
          </w:p>
          <w:p>
            <w:pPr>
              <w:spacing w:after="20"/>
            </w:pPr>
            <w:r>
              <w:rPr>
                <w:rFonts w:ascii="Aptos" w:cs="Aptos" w:eastAsia="Aptos" w:hAnsi="Aptos"/>
                <w:b/>
                <w:bCs/>
                <w:i w:val="false"/>
                <w:iCs w:val="false"/>
                <w:sz w:val="24"/>
                <w:szCs w:val="24"/>
              </w:rPr>
              <w:t xml:space="preserve">Classification: </w:t>
            </w: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Internal</w:t>
            </w:r>
          </w:p>
          <w:p>
            <w:pPr>
              <w:spacing w:after="0"/>
            </w:pPr>
            <w:r>
              <w:rPr>
                <w:rFonts w:ascii="Aptos" w:hAnsi="Aptos"/>
                <w:color w:val="595959"/>
                <w:sz w:val="24"/>
              </w:rPr>
              <w:t xml:space="preserve">«Minimum for Policy artifacts. Stays Internal because it states monitoring requirements; the as-built rules live in the Firewall Ruleset Documentation and the IDS/IPS Configuration Records. Your agency may raise but not lower this.»</w:t>
            </w:r>
          </w:p>
        </w:tc>
      </w:tr>
    </w:tbl>
    <w:p>
      <w:pPr>
        <w:spacing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1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ptos" w:hAnsi="Aptos"/>
                <w:b/>
                <w:color w:val="1B3A5C"/>
                <w:sz w:val="24"/>
              </w:rPr>
              <w:t xml:space="preserve">How to use this template </w:t>
            </w:r>
            <w:r>
              <w:rPr>
                <w:rFonts w:ascii="Aptos" w:hAnsi="Aptos"/>
                <w:b w:val="0"/>
                <w:color w:val="595959"/>
                <w:sz w:val="24"/>
              </w:rPr>
              <w:t>(delete this box before publishing)</w:t>
            </w:r>
          </w:p>
          <w:p>
            <w:pPr>
              <w:spacing w:after="140"/>
            </w:pPr>
            <w:r>
              <w:rPr>
                <w:rFonts w:ascii="Aptos" w:hAnsi="Aptos"/>
                <w:color w:val="595959"/>
                <w:sz w:val="24"/>
              </w:rPr>
              <w:t xml:space="preserve">This policy defines what network traffic the Agency monitors, what counts as an alert, who is notified, and the default-deny and rate-limiting controls it requires. It governs IDS/IPS use and device-to-device connections.</w:t>
            </w:r>
          </w:p>
          <w:p>
            <w:pPr>
              <w:spacing w:after="0"/>
            </w:pPr>
            <w:r>
              <w:rPr>
                <w:rFonts w:ascii="Aptos" w:hAnsi="Aptos"/>
                <w:b/>
                <w:sz w:val="24"/>
              </w:rPr>
              <w:t xml:space="preserve">Placeholder key: </w:t>
            </w:r>
            <w:r>
              <w:rPr>
                <w:rFonts w:ascii="Aptos" w:hAnsi="Aptos"/>
                <w:b w:val="0"/>
                <w:sz w:val="24"/>
              </w:rPr>
              <w:t>[BRACKETED]</w:t>
            </w:r>
            <w:r>
              <w:rPr>
                <w:rFonts w:ascii="Aptos" w:hAnsi="Aptos"/>
                <w:b w:val="0"/>
                <w:sz w:val="24"/>
              </w:rPr>
              <w:t xml:space="preserve"> = fill in   ·   </w:t>
            </w:r>
            <w:r>
              <w:rPr>
                <w:rFonts w:ascii="Aptos" w:hAnsi="Aptos"/>
                <w:b/>
                <w:sz w:val="24"/>
              </w:rPr>
              <w:t>[REQUIRED]</w:t>
            </w:r>
            <w:r>
              <w:rPr>
                <w:rFonts w:ascii="Aptos" w:hAnsi="Aptos"/>
                <w:b w:val="0"/>
                <w:sz w:val="24"/>
              </w:rPr>
              <w:t xml:space="preserve"> (bold) = required field   ·   </w:t>
            </w:r>
            <w:r>
              <w:rPr>
                <w:rFonts w:ascii="Aptos" w:hAnsi="Aptos"/>
                <w:b w:val="0"/>
                <w:color w:val="595959"/>
                <w:sz w:val="24"/>
              </w:rPr>
              <w:t>« »</w:t>
            </w:r>
            <w:r>
              <w:rPr>
                <w:rFonts w:ascii="Aptos" w:hAnsi="Aptos"/>
                <w:b w:val="0"/>
                <w:sz w:val="24"/>
              </w:rPr>
              <w:t xml:space="preserve"> = guidance to delete.</w:t>
            </w:r>
          </w:p>
          <w:p>
            <w:pPr>
              <w:spacing w:after="140"/>
            </w:pPr>
            <w:r>
              <w:rPr>
                <w:rFonts w:ascii="Aptos" w:hAnsi="Aptos"/>
                <w:color w:val="595959"/>
                <w:sz w:val="24"/>
              </w:rPr>
              <w:t xml:space="preserve">This policy states requirements. The as-built rules live in the Firewall Ruleset Documentation and the IDS/IPS Configuration Records; denial-of-service response and continuity live in the TDoS / DoS Response Procedure.</w:t>
            </w:r>
          </w:p>
        </w:tc>
      </w:tr>
    </w:tbl>
    <w:p>
      <w:pPr>
        <w:pStyle w:val="Heading2"/>
        <w:spacing w:after="100" w:before="220"/>
      </w:pPr>
      <w:r>
        <w:rPr>
          <w:rFonts w:ascii="Aptos" w:cs="Aptos" w:eastAsia="Aptos" w:hAnsi="Aptos"/>
          <w:b/>
          <w:bCs/>
          <w:color w:val="1B3A5C"/>
          <w:sz w:val="26"/>
          <w:szCs w:val="26"/>
        </w:rPr>
        <w:t xml:space="preserve">1. Purpose</w:t>
      </w:r>
    </w:p>
    <w:p>
      <w:pPr>
        <w:spacing w:after="140"/>
      </w:pPr>
      <w:r>
        <w:rPr>
          <w:rFonts w:ascii="Aptos" w:cs="Aptos" w:eastAsia="Aptos" w:hAnsi="Aptos"/>
          <w:i/>
          <w:iCs/>
          <w:color w:val="595959"/>
          <w:sz w:val="24"/>
          <w:szCs w:val="24"/>
        </w:rPr>
        <w:t xml:space="preserve">«Two or three sentences: what this policy governs and why the Agency maintains it. Name the outcome, not the activity.»</w:t>
      </w:r>
    </w:p>
    <w:p>
      <w:pPr>
        <w:spacing w:after="120" w:before="0"/>
      </w:pPr>
      <w:r>
        <w:rPr>
          <w:rFonts w:ascii="Aptos" w:cs="Aptos" w:eastAsia="Aptos" w:hAnsi="Aptos"/>
          <w:b w:val="0"/>
          <w:bCs w:val="false"/>
          <w:i w:val="false"/>
          <w:iCs w:val="false"/>
          <w:sz w:val="24"/>
          <w:szCs w:val="24"/>
        </w:rPr>
        <w:t xml:space="preserve">This policy sets how the Agency monitors its network for threats and enforces safe traffic controls: what is watched, what raises an alert, who responds, and a baseline posture of default-deny with rate limiting at the edge. It states requirements; other artifacts hold the configured rules and the incident response.</w:t>
      </w:r>
    </w:p>
    <w:p>
      <w:pPr>
        <w:pStyle w:val="Heading2"/>
        <w:spacing w:after="100" w:before="220"/>
      </w:pPr>
      <w:r>
        <w:rPr>
          <w:rFonts w:ascii="Aptos" w:cs="Aptos" w:eastAsia="Aptos" w:hAnsi="Aptos"/>
          <w:b/>
          <w:bCs/>
          <w:color w:val="1B3A5C"/>
          <w:sz w:val="26"/>
          <w:szCs w:val="26"/>
        </w:rPr>
        <w:t xml:space="preserve">2. Scope</w:t>
      </w:r>
    </w:p>
    <w:p>
      <w:pPr>
        <w:spacing w:after="140"/>
      </w:pPr>
      <w:r>
        <w:rPr>
          <w:rFonts w:ascii="Aptos" w:cs="Aptos" w:eastAsia="Aptos" w:hAnsi="Aptos"/>
          <w:i/>
          <w:iCs/>
          <w:color w:val="595959"/>
          <w:sz w:val="24"/>
          <w:szCs w:val="24"/>
        </w:rPr>
        <w:t xml:space="preserve">«Who and what the policy covers, and what it excludes. State exclusions explicitly.»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ptos" w:cs="Aptos" w:eastAsia="Aptos" w:hAnsi="Aptos"/>
          <w:b w:val="0"/>
          <w:bCs w:val="false"/>
          <w:i w:val="false"/>
          <w:iCs w:val="false"/>
          <w:sz w:val="24"/>
          <w:szCs w:val="24"/>
        </w:rPr>
        <w:t xml:space="preserve">Applies to: all Agency network infrastructure, the traffic crossing it, and the personnel and vendors who monitor or administer it.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ptos" w:cs="Aptos" w:eastAsia="Aptos" w:hAnsi="Aptos"/>
          <w:b w:val="0"/>
          <w:bCs w:val="false"/>
          <w:i w:val="false"/>
          <w:iCs w:val="false"/>
          <w:sz w:val="24"/>
          <w:szCs w:val="24"/>
        </w:rPr>
        <w:t xml:space="preserve">Covers: traffic monitoring and alerting, default-deny boundaries, rate limiting and traffic shaping (including denial-of-service and resource-exhaustion defenses and their testing), IDS/IPS use, and control of device-to-device connections.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ptos" w:cs="Aptos" w:eastAsia="Aptos" w:hAnsi="Aptos"/>
          <w:b w:val="0"/>
          <w:bCs w:val="false"/>
          <w:i w:val="false"/>
          <w:iCs w:val="false"/>
          <w:sz w:val="24"/>
          <w:szCs w:val="24"/>
        </w:rPr>
        <w:t xml:space="preserve">Excludes: the as-built firewall and IDS/IPS configurations, held in the Firewall Ruleset Documentation and the IDS/IPS Configuration Records; and denial-of-service response and continuity, held in the TDoS / DoS Response Procedure.</w:t>
      </w:r>
    </w:p>
    <w:p>
      <w:pPr>
        <w:pStyle w:val="Heading2"/>
        <w:spacing w:after="100" w:before="220"/>
      </w:pPr>
      <w:r>
        <w:rPr>
          <w:rFonts w:ascii="Aptos" w:cs="Aptos" w:eastAsia="Aptos" w:hAnsi="Aptos"/>
          <w:b/>
          <w:bCs/>
          <w:color w:val="1B3A5C"/>
          <w:sz w:val="26"/>
          <w:szCs w:val="26"/>
        </w:rPr>
        <w:t xml:space="preserve">3. Definitions</w:t>
      </w:r>
    </w:p>
    <w:p>
      <w:pPr>
        <w:spacing w:after="140"/>
      </w:pPr>
      <w:r>
        <w:rPr>
          <w:rFonts w:ascii="Aptos" w:cs="Aptos" w:eastAsia="Aptos" w:hAnsi="Aptos"/>
          <w:i/>
          <w:iCs/>
          <w:color w:val="595959"/>
          <w:sz w:val="24"/>
          <w:szCs w:val="24"/>
        </w:rPr>
        <w:t xml:space="preserve">«Optional. Include only terms this policy uses with a narrower meaning than common usage. Do not define common operational terms (CAD, RMS, ESInet, dispatcher). Delete this section if not needed.»</w:t>
      </w:r>
    </w:p>
    <w:p>
      <w:pPr>
        <w:spacing w:after="120" w:before="0"/>
      </w:pPr>
      <w:r>
        <w:rPr>
          <w:rFonts w:ascii="Aptos" w:cs="Aptos" w:eastAsia="Aptos" w:hAnsi="Aptos"/>
          <w:b w:val="0"/>
          <w:bCs w:val="false"/>
          <w:i w:val="false"/>
          <w:iCs w:val="false"/>
          <w:sz w:val="24"/>
          <w:szCs w:val="24"/>
        </w:rPr>
        <w:t xml:space="preserve">Alert: a monitored event or pattern the Agency has defined as warranting review or response.</w:t>
      </w:r>
    </w:p>
    <w:p>
      <w:pPr>
        <w:spacing w:after="120" w:before="0"/>
      </w:pPr>
      <w:r>
        <w:rPr>
          <w:rFonts w:ascii="Aptos" w:cs="Aptos" w:eastAsia="Aptos" w:hAnsi="Aptos"/>
          <w:b w:val="0"/>
          <w:bCs w:val="false"/>
          <w:i w:val="false"/>
          <w:iCs w:val="false"/>
          <w:sz w:val="24"/>
          <w:szCs w:val="24"/>
        </w:rPr>
        <w:t xml:space="preserve">Default-deny: a posture that blocks all traffic unless a rule explicitly allows it.</w:t>
      </w:r>
    </w:p>
    <w:p>
      <w:pPr>
        <w:spacing w:after="120" w:before="0"/>
      </w:pPr>
      <w:r>
        <w:rPr>
          <w:rFonts w:ascii="Aptos" w:cs="Aptos" w:eastAsia="Aptos" w:hAnsi="Aptos"/>
          <w:b w:val="0"/>
          <w:bCs w:val="false"/>
          <w:i w:val="false"/>
          <w:iCs w:val="false"/>
          <w:sz w:val="24"/>
          <w:szCs w:val="24"/>
        </w:rPr>
        <w:t xml:space="preserve">Rate limiting: capping the volume or rate of traffic to blunt denial-of-service and resource-exhaustion attacks.</w:t>
      </w:r>
    </w:p>
    <w:p>
      <w:pPr>
        <w:pStyle w:val="Heading2"/>
        <w:spacing w:after="100" w:before="220"/>
      </w:pPr>
      <w:r>
        <w:rPr>
          <w:rFonts w:ascii="Aptos" w:cs="Aptos" w:eastAsia="Aptos" w:hAnsi="Aptos"/>
          <w:b/>
          <w:bCs/>
          <w:color w:val="1B3A5C"/>
          <w:sz w:val="26"/>
          <w:szCs w:val="26"/>
        </w:rPr>
        <w:t xml:space="preserve">4. Policy Statement</w:t>
      </w:r>
    </w:p>
    <w:p>
      <w:pPr>
        <w:spacing w:after="140"/>
      </w:pPr>
      <w:r>
        <w:rPr>
          <w:rFonts w:ascii="Aptos" w:cs="Aptos" w:eastAsia="Aptos" w:hAnsi="Aptos"/>
          <w:i/>
          <w:iCs/>
          <w:color w:val="595959"/>
          <w:sz w:val="24"/>
          <w:szCs w:val="24"/>
        </w:rPr>
        <w:t xml:space="preserve">«The enforceable core, as numbered statements. Use “The Agency shall…” / “Personnel are responsible for…”. One requirement per statement.»</w:t>
      </w:r>
    </w:p>
    <w:p>
      <w:pPr>
        <w:pStyle w:val="ListParagraph"/>
        <w:numPr>
          <w:ilvl w:val="0"/>
          <w:numId w:val="300"/>
        </w:numPr>
        <w:spacing w:after="60"/>
      </w:pPr>
      <w:r>
        <w:rPr>
          <w:rFonts w:ascii="Aptos" w:cs="Aptos" w:eastAsia="Aptos" w:hAnsi="Aptos"/>
          <w:b w:val="0"/>
          <w:bCs w:val="false"/>
          <w:i w:val="false"/>
          <w:iCs w:val="false"/>
          <w:sz w:val="24"/>
          <w:szCs w:val="24"/>
        </w:rPr>
        <w:t xml:space="preserve">The Agency shall monitor network traffic at its boundaries and key internal points for signs of intrusion, misuse, and abnormal volume.</w:t>
      </w:r>
    </w:p>
    <w:p>
      <w:pPr>
        <w:pStyle w:val="ListParagraph"/>
        <w:numPr>
          <w:ilvl w:val="0"/>
          <w:numId w:val="300"/>
        </w:numPr>
        <w:spacing w:after="60"/>
      </w:pPr>
      <w:r>
        <w:rPr>
          <w:rFonts w:ascii="Aptos" w:cs="Aptos" w:eastAsia="Aptos" w:hAnsi="Aptos"/>
          <w:b w:val="0"/>
          <w:bCs w:val="false"/>
          <w:i w:val="false"/>
          <w:iCs w:val="false"/>
          <w:sz w:val="24"/>
          <w:szCs w:val="24"/>
        </w:rPr>
        <w:t xml:space="preserve">Network boundaries shall operate default-deny: traffic is blocked unless a rule explicitly permits it, and policy violations are logged and reviewed.</w:t>
      </w:r>
    </w:p>
    <w:p>
      <w:pPr>
        <w:pStyle w:val="ListParagraph"/>
        <w:numPr>
          <w:ilvl w:val="0"/>
          <w:numId w:val="300"/>
        </w:numPr>
        <w:spacing w:after="60"/>
      </w:pPr>
      <w:r>
        <w:rPr>
          <w:rFonts w:ascii="Aptos" w:cs="Aptos" w:eastAsia="Aptos" w:hAnsi="Aptos"/>
          <w:b w:val="0"/>
          <w:bCs w:val="false"/>
          <w:i w:val="false"/>
          <w:iCs w:val="false"/>
          <w:sz w:val="24"/>
          <w:szCs w:val="24"/>
        </w:rPr>
        <w:t xml:space="preserve">The Agency shall define what constitutes an alert, who is notified, and the expected response time, and shall route alerts to the Alert Triage &amp; Escalation Procedure.</w:t>
      </w:r>
    </w:p>
    <w:p>
      <w:pPr>
        <w:pStyle w:val="ListParagraph"/>
        <w:numPr>
          <w:ilvl w:val="0"/>
          <w:numId w:val="300"/>
        </w:numPr>
        <w:spacing w:after="60"/>
      </w:pPr>
      <w:r>
        <w:rPr>
          <w:rFonts w:ascii="Aptos" w:cs="Aptos" w:eastAsia="Aptos" w:hAnsi="Aptos"/>
          <w:b w:val="0"/>
          <w:bCs w:val="false"/>
          <w:i w:val="false"/>
          <w:iCs w:val="false"/>
          <w:sz w:val="24"/>
          <w:szCs w:val="24"/>
        </w:rPr>
        <w:t xml:space="preserve">Rate limiting and traffic shaping shall be applied at key ingress and egress points to defend against denial-of-service and resource-exhaustion attacks, and these defenses shall be tested on a defined cadence, with results recorded and deficiencies tracked.</w:t>
      </w:r>
    </w:p>
    <w:p>
      <w:pPr>
        <w:pStyle w:val="ListParagraph"/>
        <w:numPr>
          <w:ilvl w:val="0"/>
          <w:numId w:val="300"/>
        </w:numPr>
        <w:spacing w:after="60"/>
      </w:pPr>
      <w:r>
        <w:rPr>
          <w:rFonts w:ascii="Aptos" w:cs="Aptos" w:eastAsia="Aptos" w:hAnsi="Aptos"/>
          <w:b w:val="0"/>
          <w:bCs w:val="false"/>
          <w:i w:val="false"/>
          <w:iCs w:val="false"/>
          <w:sz w:val="24"/>
          <w:szCs w:val="24"/>
        </w:rPr>
        <w:t xml:space="preserve">Intrusion detection and prevention shall be used and kept current; its configuration is documented in the IDS/IPS Configuration Records.</w:t>
      </w:r>
    </w:p>
    <w:p>
      <w:pPr>
        <w:pStyle w:val="ListParagraph"/>
        <w:numPr>
          <w:ilvl w:val="0"/>
          <w:numId w:val="300"/>
        </w:numPr>
        <w:spacing w:after="60"/>
      </w:pPr>
      <w:r>
        <w:rPr>
          <w:rFonts w:ascii="Aptos" w:cs="Aptos" w:eastAsia="Aptos" w:hAnsi="Aptos"/>
          <w:b w:val="0"/>
          <w:bCs w:val="false"/>
          <w:i w:val="false"/>
          <w:iCs w:val="false"/>
          <w:sz w:val="24"/>
          <w:szCs w:val="24"/>
        </w:rPr>
        <w:t xml:space="preserve">Direct device-to-device connections shall be disabled or tightly managed, logged, and validated to prevent unauthorized data exchange.</w:t>
      </w:r>
    </w:p>
    <w:p>
      <w:pPr>
        <w:pStyle w:val="ListParagraph"/>
        <w:numPr>
          <w:ilvl w:val="0"/>
          <w:numId w:val="300"/>
        </w:numPr>
        <w:spacing w:after="60"/>
      </w:pPr>
      <w:r>
        <w:rPr>
          <w:rFonts w:ascii="Aptos" w:cs="Aptos" w:eastAsia="Aptos" w:hAnsi="Aptos"/>
          <w:b w:val="0"/>
          <w:bCs w:val="false"/>
          <w:i w:val="false"/>
          <w:iCs w:val="false"/>
          <w:sz w:val="24"/>
          <w:szCs w:val="24"/>
        </w:rPr>
        <w:t xml:space="preserve">Denial-of-service response and service continuity are handled under the TDoS / DoS Response Procedure.</w:t>
      </w:r>
    </w:p>
    <w:p>
      <w:pPr>
        <w:pStyle w:val="Heading2"/>
        <w:spacing w:after="100" w:before="220"/>
      </w:pPr>
      <w:r>
        <w:rPr>
          <w:rFonts w:ascii="Aptos" w:cs="Aptos" w:eastAsia="Aptos" w:hAnsi="Aptos"/>
          <w:b/>
          <w:bCs/>
          <w:color w:val="1B3A5C"/>
          <w:sz w:val="26"/>
          <w:szCs w:val="26"/>
        </w:rPr>
        <w:t xml:space="preserve">5. Roles &amp; Responsibilities</w:t>
      </w:r>
    </w:p>
    <w:p>
      <w:pPr>
        <w:spacing w:after="140"/>
      </w:pPr>
      <w:r>
        <w:rPr>
          <w:rFonts w:ascii="Aptos" w:cs="Aptos" w:eastAsia="Aptos" w:hAnsi="Aptos"/>
          <w:i/>
          <w:iCs/>
          <w:color w:val="595959"/>
          <w:sz w:val="24"/>
          <w:szCs w:val="24"/>
        </w:rPr>
        <w:t xml:space="preserve">«Each role that carries a duty under this policy and what it owns. Roles, not names.»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cantSplit/>
          <w:tblHeader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 xml:space="preserve">Role</w:t>
            </w:r>
          </w:p>
        </w:tc>
        <w:tc>
          <w:tcPr>
            <w:tcW w:type="dxa" w:w="6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 xml:space="preserve">Responsibility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0"/>
                <w:bCs w:val="false"/>
                <w:i w:val="false"/>
                <w:iCs w:val="false"/>
                <w:sz w:val="24"/>
                <w:szCs w:val="24"/>
              </w:rPr>
              <w:t xml:space="preserve">[Director / Coordinator]</w:t>
            </w:r>
          </w:p>
        </w:tc>
        <w:tc>
          <w:tcPr>
            <w:tcW w:type="dxa" w:w="6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0"/>
                <w:bCs w:val="false"/>
                <w:i w:val="false"/>
                <w:iCs w:val="false"/>
                <w:sz w:val="24"/>
                <w:szCs w:val="24"/>
              </w:rPr>
              <w:t xml:space="preserve">Owns this policy, sets alert definitions and notification paths, and approves exceptions.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0"/>
                <w:bCs w:val="false"/>
                <w:i w:val="false"/>
                <w:iCs w:val="false"/>
                <w:sz w:val="24"/>
                <w:szCs w:val="24"/>
              </w:rPr>
              <w:t xml:space="preserve">[IT support (county / vendor / in-house)]</w:t>
            </w:r>
          </w:p>
        </w:tc>
        <w:tc>
          <w:tcPr>
            <w:tcW w:type="dxa" w:w="6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0"/>
                <w:bCs w:val="false"/>
                <w:i w:val="false"/>
                <w:iCs w:val="false"/>
                <w:sz w:val="24"/>
                <w:szCs w:val="24"/>
              </w:rPr>
              <w:t xml:space="preserve">Configures monitoring, default-deny boundaries, rate limiting, and IDS/IPS, and records the as-built state.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0"/>
                <w:bCs w:val="false"/>
                <w:i w:val="false"/>
                <w:iCs w:val="false"/>
                <w:sz w:val="24"/>
                <w:szCs w:val="24"/>
              </w:rPr>
              <w:t xml:space="preserve">[Security coordinator]</w:t>
            </w:r>
          </w:p>
        </w:tc>
        <w:tc>
          <w:tcPr>
            <w:tcW w:type="dxa" w:w="6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0"/>
                <w:bCs w:val="false"/>
                <w:i w:val="false"/>
                <w:iCs w:val="false"/>
                <w:sz w:val="24"/>
                <w:szCs w:val="24"/>
              </w:rPr>
              <w:t xml:space="preserve">Reviews alerts, tunes thresholds, and escalates confirmed threats.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0"/>
                <w:bCs w:val="false"/>
                <w:i w:val="false"/>
                <w:iCs w:val="false"/>
                <w:sz w:val="24"/>
                <w:szCs w:val="24"/>
              </w:rPr>
              <w:t xml:space="preserve">[All personnel]</w:t>
            </w:r>
          </w:p>
        </w:tc>
        <w:tc>
          <w:tcPr>
            <w:tcW w:type="dxa" w:w="6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0"/>
                <w:bCs w:val="false"/>
                <w:i w:val="false"/>
                <w:iCs w:val="false"/>
                <w:sz w:val="24"/>
                <w:szCs w:val="24"/>
              </w:rPr>
              <w:t xml:space="preserve">Report unusual network behavior and do not bypass network controls.</w:t>
            </w:r>
          </w:p>
        </w:tc>
      </w:tr>
    </w:tbl>
    <w:p>
      <w:pPr>
        <w:pStyle w:val="Heading2"/>
        <w:spacing w:after="100" w:before="220"/>
      </w:pPr>
      <w:r>
        <w:rPr>
          <w:rFonts w:ascii="Aptos" w:cs="Aptos" w:eastAsia="Aptos" w:hAnsi="Aptos"/>
          <w:b/>
          <w:bCs/>
          <w:color w:val="1B3A5C"/>
          <w:sz w:val="26"/>
          <w:szCs w:val="26"/>
        </w:rPr>
        <w:t xml:space="preserve">6. Enforcement</w:t>
      </w:r>
    </w:p>
    <w:p>
      <w:pPr>
        <w:spacing w:after="140"/>
      </w:pPr>
      <w:r>
        <w:rPr>
          <w:rFonts w:ascii="Aptos" w:cs="Aptos" w:eastAsia="Aptos" w:hAnsi="Aptos"/>
          <w:i/>
          <w:iCs/>
          <w:color w:val="595959"/>
          <w:sz w:val="24"/>
          <w:szCs w:val="24"/>
        </w:rPr>
        <w:t xml:space="preserve">«How compliance is monitored and what happens on violation. Reference the Agency’s corrective process; do not restate it.»</w:t>
      </w:r>
    </w:p>
    <w:p>
      <w:pPr>
        <w:spacing w:after="120" w:before="0"/>
      </w:pPr>
      <w:r>
        <w:rPr>
          <w:rFonts w:ascii="Aptos" w:cs="Aptos" w:eastAsia="Aptos" w:hAnsi="Aptos"/>
          <w:b w:val="0"/>
          <w:bCs w:val="false"/>
          <w:i w:val="false"/>
          <w:iCs w:val="false"/>
          <w:sz w:val="24"/>
          <w:szCs w:val="24"/>
        </w:rPr>
        <w:t xml:space="preserve">The [Director / Coordinator] monitors compliance. Traffic controls that are disabled or bypassed are restored, and repeated violations are handled under the Agency's corrective-action process.</w:t>
      </w:r>
    </w:p>
    <w:p>
      <w:pPr>
        <w:pStyle w:val="Heading2"/>
        <w:spacing w:after="100" w:before="220"/>
      </w:pPr>
      <w:r>
        <w:rPr>
          <w:rFonts w:ascii="Aptos" w:cs="Aptos" w:eastAsia="Aptos" w:hAnsi="Aptos"/>
          <w:b/>
          <w:bCs/>
          <w:color w:val="1B3A5C"/>
          <w:sz w:val="26"/>
          <w:szCs w:val="26"/>
        </w:rPr>
        <w:t xml:space="preserve">7. Exceptions</w:t>
      </w:r>
    </w:p>
    <w:p>
      <w:pPr>
        <w:spacing w:after="140"/>
      </w:pPr>
      <w:r>
        <w:rPr>
          <w:rFonts w:ascii="Aptos" w:cs="Aptos" w:eastAsia="Aptos" w:hAnsi="Aptos"/>
          <w:i/>
          <w:iCs/>
          <w:color w:val="595959"/>
          <w:sz w:val="24"/>
          <w:szCs w:val="24"/>
        </w:rPr>
        <w:t xml:space="preserve">«Who may grant an exception, how it is requested and recorded, and how long it lasts before review.»</w:t>
      </w:r>
    </w:p>
    <w:p>
      <w:pPr>
        <w:spacing w:after="120" w:before="0"/>
      </w:pPr>
      <w:r>
        <w:rPr>
          <w:rFonts w:ascii="Aptos" w:cs="Aptos" w:eastAsia="Aptos" w:hAnsi="Aptos"/>
          <w:b w:val="0"/>
          <w:bCs w:val="false"/>
          <w:i w:val="false"/>
          <w:iCs w:val="false"/>
          <w:sz w:val="24"/>
          <w:szCs w:val="24"/>
        </w:rPr>
        <w:t xml:space="preserve">Exceptions require written approval from the [Director / Coordinator], must state the control affected and a compensating measure, and expire after [period] unless renewed.</w:t>
      </w:r>
    </w:p>
    <w:p>
      <w:pPr>
        <w:pStyle w:val="Heading2"/>
        <w:spacing w:after="100" w:before="220"/>
      </w:pPr>
      <w:r>
        <w:rPr>
          <w:rFonts w:ascii="Aptos" w:cs="Aptos" w:eastAsia="Aptos" w:hAnsi="Aptos"/>
          <w:b/>
          <w:bCs/>
          <w:color w:val="1B3A5C"/>
          <w:sz w:val="26"/>
          <w:szCs w:val="26"/>
        </w:rPr>
        <w:t xml:space="preserve">8. Review Schedule</w:t>
      </w:r>
    </w:p>
    <w:p>
      <w:pPr>
        <w:spacing w:after="140"/>
      </w:pPr>
      <w:r>
        <w:rPr>
          <w:rFonts w:ascii="Aptos" w:cs="Aptos" w:eastAsia="Aptos" w:hAnsi="Aptos"/>
          <w:i/>
          <w:iCs/>
          <w:color w:val="595959"/>
          <w:sz w:val="24"/>
          <w:szCs w:val="24"/>
        </w:rPr>
        <w:t xml:space="preserve">«Review cadence and trigger events (annual at minimum; also on significant change). Name the owning role.»</w:t>
      </w:r>
    </w:p>
    <w:p>
      <w:pPr>
        <w:spacing w:after="120" w:before="0"/>
      </w:pPr>
      <w:r>
        <w:rPr>
          <w:rFonts w:ascii="Aptos" w:cs="Aptos" w:eastAsia="Aptos" w:hAnsi="Aptos"/>
          <w:b w:val="0"/>
          <w:bCs w:val="false"/>
          <w:i w:val="false"/>
          <w:iCs w:val="false"/>
          <w:sz w:val="24"/>
          <w:szCs w:val="24"/>
        </w:rPr>
        <w:t xml:space="preserve">This policy is reviewed at least annually and after any significant change to the network, by the [Owner role].</w:t>
      </w:r>
    </w:p>
    <w:p>
      <w:pPr>
        <w:pStyle w:val="Heading2"/>
        <w:spacing w:after="100" w:before="220"/>
      </w:pPr>
      <w:r>
        <w:rPr>
          <w:rFonts w:ascii="Aptos" w:cs="Aptos" w:eastAsia="Aptos" w:hAnsi="Aptos"/>
          <w:b/>
          <w:bCs/>
          <w:color w:val="1B3A5C"/>
          <w:sz w:val="26"/>
          <w:szCs w:val="26"/>
        </w:rPr>
        <w:t xml:space="preserve">Profile Scaling Notes</w:t>
      </w:r>
    </w:p>
    <w:p>
      <w:pPr>
        <w:spacing w:after="140"/>
      </w:pPr>
      <w:r>
        <w:rPr>
          <w:rFonts w:ascii="Aptos" w:cs="Aptos" w:eastAsia="Aptos" w:hAnsi="Aptos"/>
          <w:i/>
          <w:iCs/>
          <w:color w:val="595959"/>
          <w:sz w:val="24"/>
          <w:szCs w:val="24"/>
        </w:rPr>
        <w:t xml:space="preserve">One short paragraph per profile: what minimum-viable looks like for that reader and where to scale up. Keep all three if this ships as a template; delete the profiles that do not apply once adopted.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rPr>
          <w:cantSplit/>
          <w:tblHeader/>
        </w:trP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 xml:space="preserve">PSAP Profile</w:t>
            </w:r>
          </w:p>
        </w:tc>
        <w:tc>
          <w:tcPr>
            <w:tcW w:type="dxa" w:w="6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 xml:space="preserve">Minimum-viable implementation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0"/>
                <w:bCs w:val="false"/>
                <w:i w:val="false"/>
                <w:iCs w:val="false"/>
                <w:sz w:val="24"/>
                <w:szCs w:val="24"/>
              </w:rPr>
              <w:t xml:space="preserve">Small (1–5 dispatchers, no in-house IT)</w:t>
            </w:r>
          </w:p>
        </w:tc>
        <w:tc>
          <w:tcPr>
            <w:tcW w:type="dxa" w:w="6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0"/>
                <w:bCs w:val="false"/>
                <w:i w:val="false"/>
                <w:iCs w:val="false"/>
                <w:sz w:val="24"/>
                <w:szCs w:val="24"/>
              </w:rPr>
              <w:t xml:space="preserve">Adopt as written. With no in-house IT, rely on the firewall and router the county or vendor provides: enable default-deny, turn on the logging and alerting they support, and have the vendor confirm rate limiting is in place and test thresholds and alerts at least annually.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0"/>
                <w:bCs w:val="false"/>
                <w:i w:val="false"/>
                <w:iCs w:val="false"/>
                <w:sz w:val="24"/>
                <w:szCs w:val="24"/>
              </w:rPr>
              <w:t xml:space="preserve">Medium (6–25, shared county IT)</w:t>
            </w:r>
          </w:p>
        </w:tc>
        <w:tc>
          <w:tcPr>
            <w:tcW w:type="dxa" w:w="6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0"/>
                <w:bCs w:val="false"/>
                <w:i w:val="false"/>
                <w:iCs w:val="false"/>
                <w:sz w:val="24"/>
                <w:szCs w:val="24"/>
              </w:rPr>
              <w:t xml:space="preserve">Shared county IT runs monitoring and alerting, maintains default-deny rulesets, and tests denial-of-service defenses on a set cadence; the security coordinator reviews alerts.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0"/>
                <w:bCs w:val="false"/>
                <w:i w:val="false"/>
                <w:iCs w:val="false"/>
                <w:sz w:val="24"/>
                <w:szCs w:val="24"/>
              </w:rPr>
              <w:t xml:space="preserve">Large (25+, dedicated IT/security)</w:t>
            </w:r>
          </w:p>
        </w:tc>
        <w:tc>
          <w:tcPr>
            <w:tcW w:type="dxa" w:w="6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0"/>
                <w:bCs w:val="false"/>
                <w:i w:val="false"/>
                <w:iCs w:val="false"/>
                <w:sz w:val="24"/>
                <w:szCs w:val="24"/>
              </w:rPr>
              <w:t xml:space="preserve">A security team monitors traffic continuously through IDS/IPS and a SIEM, enforces default-deny and rate limiting at every boundary, and runs scheduled denial-of-service tests with recorded results.</w:t>
            </w:r>
          </w:p>
        </w:tc>
      </w:tr>
    </w:tbl>
    <w:p/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ptos" w:hAnsi="Aptos"/>
                <w:b/>
                <w:color w:val="1B3A5C"/>
                <w:sz w:val="24"/>
              </w:rPr>
              <w:t>Source Authority</w:t>
            </w:r>
          </w:p>
          <w:p>
            <w:pPr>
              <w:spacing w:after="140"/>
            </w:pPr>
            <w:r>
              <w:rPr>
                <w:rFonts w:ascii="Aptos" w:hAnsi="Aptos"/>
                <w:b w:val="0"/>
                <w:sz w:val="24"/>
              </w:rPr>
              <w:t xml:space="preserve">NENA-STA-040.2-2024: §5.6.4 (Intrusion Monitoring and Detection)</w:t>
            </w:r>
          </w:p>
          <w:p>
            <w:pPr>
              <w:spacing w:after="140"/>
            </w:pPr>
            <w:r>
              <w:rPr>
                <w:rFonts w:ascii="Aptos" w:hAnsi="Aptos"/>
                <w:b w:val="0"/>
                <w:sz w:val="24"/>
              </w:rPr>
              <w:t xml:space="preserve">NIST SP 800-53 Rev. 5: AC-4, SC-5, SC-7, SI-4</w:t>
            </w:r>
          </w:p>
        </w:tc>
      </w:tr>
    </w:tbl>
    <w:p>
      <w:pPr>
        <w:pStyle w:val="Heading2"/>
        <w:spacing w:after="100" w:before="220"/>
      </w:pPr>
      <w:r>
        <w:rPr>
          <w:rFonts w:ascii="Aptos" w:cs="Aptos" w:eastAsia="Aptos" w:hAnsi="Aptos"/>
          <w:b/>
          <w:bCs/>
          <w:color w:val="1B3A5C"/>
          <w:sz w:val="26"/>
          <w:szCs w:val="26"/>
        </w:rPr>
        <w:t xml:space="preserve">Approval Signatures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360"/>
        <w:gridCol w:w="2600"/>
        <w:gridCol w:w="1400"/>
      </w:tblGrid>
      <w:tr>
        <w:trPr>
          <w:cantSplit/>
          <w:tblHeader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 xml:space="preserve">Role</w:t>
            </w:r>
          </w:p>
        </w:tc>
        <w:tc>
          <w:tcPr>
            <w:tcW w:type="dxa" w:w="2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 xml:space="preserve">Name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 xml:space="preserve">Signature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 xml:space="preserve">Date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[Approving official / title]</w:t>
            </w:r>
          </w:p>
        </w:tc>
        <w:tc>
          <w:tcPr>
            <w:tcW w:type="dxa" w:w="2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/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/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/>
        </w:tc>
      </w:tr>
      <w:tr>
        <w:trPr>
          <w:cantSplit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[Owner role]</w:t>
            </w:r>
          </w:p>
        </w:tc>
        <w:tc>
          <w:tcPr>
            <w:tcW w:type="dxa" w:w="2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/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/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/>
        </w:tc>
      </w:tr>
    </w:tbl>
    <w:p>
      <w:pPr>
        <w:pStyle w:val="Heading2"/>
        <w:spacing w:after="100" w:before="220"/>
      </w:pPr>
      <w:r>
        <w:rPr>
          <w:rFonts w:ascii="Aptos" w:cs="Aptos" w:eastAsia="Aptos" w:hAnsi="Aptos"/>
          <w:b/>
          <w:bCs/>
          <w:color w:val="1B3A5C"/>
          <w:sz w:val="26"/>
          <w:szCs w:val="26"/>
        </w:rPr>
        <w:t xml:space="preserve">Revision History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1600"/>
        <w:gridCol w:w="2200"/>
        <w:gridCol w:w="4260"/>
      </w:tblGrid>
      <w:tr>
        <w:trPr>
          <w:cantSplit/>
          <w:tblHeader/>
        </w:trPr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 xml:space="preserve">Version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 xml:space="preserve">Date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 xml:space="preserve">Author</w:t>
            </w:r>
          </w:p>
        </w:tc>
        <w:tc>
          <w:tcPr>
            <w:tcW w:type="dxa" w:w="4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 xml:space="preserve">Summary of Change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[#]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[Date]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[Role]</w:t>
            </w:r>
          </w:p>
        </w:tc>
        <w:tc>
          <w:tcPr>
            <w:tcW w:type="dxa" w:w="4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[Initial issue]</w:t>
            </w:r>
          </w:p>
        </w:tc>
      </w:tr>
    </w:tbl>
    <w:p>
      <w:pPr>
        <w:spacing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1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ptos" w:hAnsi="Aptos"/>
                <w:b/>
                <w:color w:val="1B3A5C"/>
                <w:sz w:val="24"/>
              </w:rPr>
              <w:t xml:space="preserve">Drafter’s note </w:t>
            </w:r>
            <w:r>
              <w:rPr>
                <w:rFonts w:ascii="Aptos" w:hAnsi="Aptos"/>
                <w:b w:val="0"/>
                <w:color w:val="595959"/>
                <w:sz w:val="24"/>
              </w:rPr>
              <w:t>(internal, delete before publishing)</w:t>
            </w:r>
          </w:p>
          <w:p>
            <w:pPr>
              <w:spacing w:after="140"/>
            </w:pPr>
            <w:r>
              <w:rPr>
                <w:rFonts w:ascii="Aptos" w:hAnsi="Aptos"/>
                <w:color w:val="595959"/>
                <w:sz w:val="24"/>
              </w:rPr>
              <w:t xml:space="preserve">Network Monitoring Policy for category 4.B. Internal because it states monitoring requirements; the as-built rules are in the Firewall Ruleset Documentation and the IDS/IPS Configuration Records, and denial-of-service response is in the TDoS / DoS Response Procedure. Statement 4 carries the rate-limiting and denial-of-service testing requirement and cadence (the test-regularly half of the assessment); the response procedure exercises it. Keep specific thresholds out of the policy to hold Internal. Cross-referenced by Tracker name: Network Architecture Diagram, Firewall Ruleset Documentation, Network Segmentation Design Document, IDS/IPS Configuration Records, Alert Triage &amp; Escalation Procedure, TDoS / DoS Response Procedure. Confirm the precise NENA clause and the Agency's testing cadence.</w:t>
            </w:r>
          </w:p>
        </w:tc>
      </w:tr>
    </w:tbl>
    <w:p/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ptos" w:cs="Aptos" w:eastAsia="Aptos" w:hAnsi="Aptos"/>
        <w:color w:val="595959"/>
        <w:sz w:val="18"/>
        <w:szCs w:val="18"/>
      </w:rPr>
      <w:t xml:space="preserve">Page </w:t>
    </w:r>
    <w:r>
      <w:rPr>
        <w:rFonts w:ascii="Aptos" w:cs="Aptos" w:eastAsia="Aptos" w:hAnsi="Aptos"/>
        <w:color w:val="595959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ptos" w:cs="Aptos" w:eastAsia="Aptos" w:hAnsi="Aptos"/>
        <w:color w:val="595959"/>
        <w:sz w:val="18"/>
        <w:szCs w:val="18"/>
      </w:rPr>
      <w:t xml:space="preserve"> of </w:t>
    </w:r>
    <w:r>
      <w:rPr>
        <w:rFonts w:ascii="Aptos" w:cs="Aptos" w:eastAsia="Aptos" w:hAnsi="Aptos"/>
        <w:color w:val="595959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B3A5C" w:sz="6" w:space="2"/>
      </w:pBdr>
      <w:jc w:val="right"/>
    </w:pPr>
    <w:r>
      <w:rPr>
        <w:rFonts w:ascii="Aptos" w:cs="Aptos" w:eastAsia="Aptos" w:hAnsi="Aptos"/>
        <w:color w:val="595959"/>
        <w:sz w:val="16"/>
        <w:szCs w:val="16"/>
      </w:rPr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2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20"/>
      </w:p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00" w:hanging="320"/>
      </w:pPr>
    </w:lvl>
  </w:abstractNum>
  <w:abstractNum w:abstractNumId="5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00" w:hanging="320"/>
      </w:p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20"/>
      </w:pPr>
    </w:lvl>
  </w:abstractNum>
  <w:abstractNum w:abstractNumId="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20"/>
      </w:pPr>
    </w:lvl>
  </w:abstractNum>
  <w:abstractNum w:abstractNumId="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20"/>
      </w:pPr>
    </w:lvl>
  </w:abstractNum>
  <w:abstractNum w:abstractNumId="9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00" w:hanging="320"/>
      </w:pPr>
    </w:lvl>
  </w:abstractNum>
  <w:abstractNum w:abstractNumId="10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00" w:hanging="320"/>
      </w:pPr>
    </w:lvl>
  </w:abstractNum>
  <w:abstractNum w:abstractNumId="11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00" w:hanging="320"/>
      </w:pPr>
    </w:lvl>
  </w:abstractNum>
  <w:abstractNum w:abstractNumId="1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00" w:hanging="320"/>
      </w:pPr>
    </w:lvl>
  </w:abstractNum>
  <w:num w:numId="1">
    <w:abstractNumId w:val="1"/>
    <w:lvlOverride w:ilvl="0">
      <w:startOverride w:val="1"/>
    </w:lvlOverride>
  </w:num>
  <w:num w:numId="2">
    <w:abstractNumId w:val="4"/>
    <w:lvlOverride w:ilvl="0">
      <w:startOverride w:val="1"/>
    </w:lvlOverride>
  </w:num>
  <w:num w:numId="3">
    <w:abstractNumId w:val="2"/>
    <w:lvlOverride w:ilvl="0">
      <w:startOverride w:val="1"/>
    </w:lvlOverride>
  </w:num>
  <w:num w:numId="300">
    <w:abstractNumId w:val="8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ptos" w:cs="Aptos" w:eastAsia="Aptos" w:hAnsi="Aptos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3">
    <w:name w:val="Heading 3"/>
    <w:basedOn w:val="Normal"/>
    <w:next w:val="Normal"/>
    <w:qFormat/>
    <w:pPr>
      <w:keepNext/>
      <w:keepLines/>
      <w:spacing w:after="100" w:before="220"/>
      <w:outlineLvl w:val="2"/>
    </w:pPr>
    <w:rPr>
      <w:rFonts w:ascii="Aptos" w:cs="Aptos" w:eastAsia="Aptos" w:hAnsi="Aptos"/>
      <w:b/>
      <w:bCs/>
      <w:color w:val="1B3A5C"/>
      <w:sz w:val="26"/>
      <w:szCs w:val="26"/>
    </w:rPr>
  </w:style>
  <w:style w:type="paragraph" w:styleId="Heading4">
    <w:name w:val="Heading 4"/>
    <w:basedOn w:val="Normal"/>
    <w:next w:val="Normal"/>
    <w:qFormat/>
    <w:pPr>
      <w:keepNext/>
      <w:keepLines/>
      <w:spacing w:after="100" w:before="220"/>
      <w:outlineLvl w:val="3"/>
    </w:pPr>
    <w:rPr>
      <w:rFonts w:ascii="Aptos" w:cs="Aptos" w:eastAsia="Aptos" w:hAnsi="Aptos"/>
      <w:b/>
      <w:bCs/>
      <w:color w:val="1B3A5C"/>
      <w:sz w:val="24"/>
      <w:szCs w:val="24"/>
    </w:rPr>
  </w:style>
  <w:style w:type="paragraph" w:styleId="Heading5">
    <w:name w:val="Heading 5"/>
    <w:basedOn w:val="Normal"/>
    <w:next w:val="Normal"/>
    <w:qFormat/>
    <w:pPr>
      <w:keepNext/>
      <w:keepLines/>
      <w:spacing w:after="100" w:before="220"/>
      <w:outlineLvl w:val="4"/>
    </w:pPr>
    <w:rPr>
      <w:rFonts w:ascii="Aptos" w:cs="Aptos" w:eastAsia="Aptos" w:hAnsi="Aptos"/>
      <w:b/>
      <w:bCs/>
      <w:color w:val="1B3A5C"/>
      <w:sz w:val="24"/>
      <w:szCs w:val="24"/>
    </w:rPr>
  </w:style>
  <w:style w:type="paragraph" w:styleId="Heading6">
    <w:name w:val="Heading 6"/>
    <w:basedOn w:val="Normal"/>
    <w:next w:val="Normal"/>
    <w:qFormat/>
    <w:pPr>
      <w:keepNext/>
      <w:keepLines/>
      <w:spacing w:after="100" w:before="220"/>
      <w:outlineLvl w:val="5"/>
    </w:pPr>
    <w:rPr>
      <w:rFonts w:ascii="Aptos" w:cs="Aptos" w:eastAsia="Aptos" w:hAnsi="Aptos"/>
      <w:b/>
      <w:bCs/>
      <w:color w:val="1B3A5C"/>
      <w:sz w:val="24"/>
      <w:szCs w:val="24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keepNext/>
      <w:keepLines/>
      <w:spacing w:after="160" w:before="240"/>
      <w:outlineLvl w:val="0"/>
    </w:pPr>
    <w:rPr>
      <w:rFonts w:ascii="Aptos" w:cs="Aptos" w:eastAsia="Aptos" w:hAnsi="Aptos"/>
      <w:b/>
      <w:bCs/>
      <w:color w:val="1B3A5C"/>
      <w:sz w:val="32"/>
      <w:szCs w:val="32"/>
    </w:rPr>
  </w:style>
  <w:style w:type="paragraph" w:styleId="Heading2">
    <w:name w:val="Heading 2"/>
    <w:basedOn w:val="Normal"/>
    <w:next w:val="Normal"/>
    <w:qFormat/>
    <w:pPr>
      <w:keepNext/>
      <w:keepLines/>
      <w:spacing w:after="100" w:before="220"/>
      <w:outlineLvl w:val="1"/>
    </w:pPr>
    <w:rPr>
      <w:rFonts w:ascii="Aptos" w:cs="Aptos" w:eastAsia="Aptos" w:hAnsi="Aptos"/>
      <w:b/>
      <w:bCs/>
      <w:color w:val="1B3A5C"/>
      <w:sz w:val="26"/>
      <w:szCs w:val="26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911 Authority in partnership with IN911</dc:creator>
  <cp:lastModifiedBy/>
  <cp:revision>1</cp:revision>
  <dcterms:created xsi:type="dcterms:W3CDTF">2026-06-01T15:29:11.401Z</dcterms:created>
  <dcterms:modified xsi:type="dcterms:W3CDTF">2026-06-01T15:29:11.401Z</dcterms:modified>
  <dc:title xmlns:dc="http://purl.org/dc/elements/1.1/">Network Monitoring Policy - FORM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