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Security Configuration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these records reveal active security settings.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security configuration of the Agency's DNS: separation of authoritative and recursive services, DNSSEC or encrypted DNS, the secure configuration baseline, authentication for DNS administrators, and DNS query and change logging. It pairs with the DNS Filtering Policy; DNS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 servers / service]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 cloud / provider]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 from Master Asset Inventory]</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separation]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separated]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[distinct hosts / subnets]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[Protective protocol]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[DNSSEC / DoH / DoT]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 enabled]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[Secure baseline]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[risky features disabled; input validation]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 baseline]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authentication]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[MFA / client certificate]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[see MFA Implementation Record]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[Query and change logging]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[enabled; destination]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SIEM]</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secure baseline at least [quarterly] by the [Owner role]; configuration changes run through the Change Management Policy and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DNS is often the resolver the ISP or a hosted service provides. Record what is used, whether protective or encrypted DNS is enabled, and who can change it. The manual equivalent is confirming risky features are off and admin access is limited.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DNS separation, enables DNSSEC or encrypted DNS where supported, limits and logs admin access, and forwards DNS logs centrally.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Authoritative and recursive services are separated, DNSSEC and encrypted DNS are enforced, the baseline is automated with drift alerts, admin access uses MFA from a jump host, and DNS logs feed the SIEM.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SC-20, SC-21, SC-22, AU-12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DNS Security Configuration Record for category 4.C. Restricted; reveals DNS security architecture. This is the technical half of the DNS pair: the DNS Filtering Policy governs protective filtering, this record holds the as-built security configuration, and DNS change governance runs through the Change Management Policy. Admin MFA references the MFA Implementation Record; DNS logging feeds the SIEM / Monitoring Tool Configuration Records. Cross-referenced by Tracker name: DNS Filtering Policy, Change Management Policy, MFA Implementation Record, Remote Access Policy, Logging Policy, SIEM / Monitoring Tool Configuration Records. Confirm the Agency's DNS platform and which protective protocols are enabled.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DNS Security Configuration Record - FORM</dc:title>
</cp:coreProperties>
</file>

<file path=docProps/custom.xml><?xml version="1.0" encoding="utf-8"?>
<Properties xmlns="http://schemas.openxmlformats.org/officeDocument/2006/custom-properties" xmlns:vt="http://schemas.openxmlformats.org/officeDocument/2006/docPropsVTypes"/>
</file>