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r>
        <w:rPr>
          <w:rFonts w:ascii="Aptos" w:cs="Aptos" w:eastAsia="Aptos" w:hAnsi="Aptos"/>
          <w:b/>
          <w:bCs/>
          <w:color w:val="1B3A5C"/>
          <w:sz w:val="40"/>
          <w:szCs w:val="40"/>
        </w:rPr>
        <w:t xml:space="preserve">DNS Filtering Policy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trPr>
        <w:tc>
          <w:tcPr>
            <w:tcW w:type="dxa" w:w="9360"/>
            <w:tcBorders>
              <w:top w:val="single" w:color="BFBFBF" w:sz="4"/>
              <w:left w:val="single" w:color="BFBFBF" w:sz="4"/>
              <w:bottom w:val="single" w:color="BFBFBF" w:sz="4"/>
              <w:right w:val="single" w:color="BFBFBF" w:sz="4"/>
            </w:tcBorders>
            <w:shd w:fill="EEF2F7" w:val="clear"/>
            <w:tcMar>
              <w:top w:type="dxa" w:w="80"/>
              <w:left w:type="dxa" w:w="120"/>
              <w:bottom w:type="dxa" w:w="80"/>
              <w:right w:type="dxa" w:w="120"/>
            </w:tcMar>
          </w:tcPr>
          <w:p>
            <w:pPr>
              <w:spacing w:after="60"/>
            </w:pPr>
            <w:r>
              <w:rPr>
                <w:rFonts w:ascii="Aptos" w:cs="Aptos" w:eastAsia="Aptos" w:hAnsi="Aptos"/>
                <w:b/>
                <w:bCs/>
                <w:i w:val="false"/>
                <w:iCs w:val="false"/>
                <w:sz w:val="24"/>
                <w:szCs w:val="24"/>
              </w:rPr>
              <w:t xml:space="preserve">Authority: </w:t>
            </w:r>
            <w:r>
              <w:rPr>
                <w:rFonts w:ascii="Aptos" w:cs="Aptos" w:eastAsia="Aptos" w:hAnsi="Aptos"/>
                <w:b w:val="false"/>
                <w:bCs w:val="false"/>
                <w:i w:val="false"/>
                <w:iCs w:val="false"/>
                <w:sz w:val="24"/>
                <w:szCs w:val="24"/>
              </w:rPr>
              <w:t xml:space="preserve">Adopted by </w:t>
            </w:r>
            <w:r>
              <w:rPr>
                <w:rFonts w:ascii="Aptos" w:cs="Aptos" w:eastAsia="Aptos" w:hAnsi="Aptos"/>
                <w:b/>
                <w:bCs/>
                <w:i w:val="false"/>
                <w:iCs w:val="false"/>
                <w:sz w:val="24"/>
                <w:szCs w:val="24"/>
              </w:rPr>
              <w:t xml:space="preserve">[Agency Name]</w:t>
            </w:r>
            <w:r>
              <w:rPr>
                <w:rFonts w:ascii="Aptos" w:cs="Aptos" w:eastAsia="Aptos" w:hAnsi="Aptos"/>
                <w:b w:val="false"/>
                <w:bCs w:val="false"/>
                <w:i w:val="false"/>
                <w:iCs w:val="false"/>
                <w:sz w:val="24"/>
                <w:szCs w:val="24"/>
              </w:rPr>
              <w:t xml:space="preserve"> under the authority of </w:t>
            </w:r>
            <w:r>
              <w:rPr>
                <w:rFonts w:ascii="Aptos" w:cs="Aptos" w:eastAsia="Aptos" w:hAnsi="Aptos"/>
                <w:b/>
                <w:bCs/>
                <w:i w:val="false"/>
                <w:iCs w:val="false"/>
                <w:sz w:val="24"/>
                <w:szCs w:val="24"/>
              </w:rPr>
              <w:t xml:space="preserve">[signing official / title]</w:t>
            </w:r>
            <w:r>
              <w:rPr>
                <w:rFonts w:ascii="Aptos" w:cs="Aptos" w:eastAsia="Aptos" w:hAnsi="Aptos"/>
                <w:b w:val="false"/>
                <w:bCs w:val="false"/>
                <w:i w:val="false"/>
                <w:iCs w:val="false"/>
                <w:sz w:val="24"/>
                <w:szCs w:val="24"/>
              </w:rPr>
              <w:t xml:space="preserve">.</w:t>
            </w:r>
          </w:p>
          <w:p>
            <w:pPr>
              <w:spacing w:after="60"/>
            </w:pPr>
            <w:r>
              <w:rPr>
                <w:rFonts w:ascii="Aptos" w:cs="Aptos" w:eastAsia="Aptos" w:hAnsi="Aptos"/>
                <w:b/>
                <w:bCs/>
                <w:i w:val="false"/>
                <w:iCs w:val="false"/>
                <w:sz w:val="24"/>
                <w:szCs w:val="24"/>
              </w:rPr>
              <w:t xml:space="preserve">Version: </w:t>
            </w:r>
            <w:r>
              <w:rPr>
                <w:rFonts w:ascii="Aptos" w:cs="Aptos" w:eastAsia="Aptos" w:hAnsi="Aptos"/>
                <w:b w:val="false"/>
                <w:bCs w:val="false"/>
                <w:i w:val="false"/>
                <w:iCs w:val="false"/>
                <w:sz w:val="24"/>
                <w:szCs w:val="24"/>
              </w:rPr>
              <w:t xml:space="preserve">[#]    </w:t>
            </w:r>
            <w:r>
              <w:rPr>
                <w:rFonts w:ascii="Aptos" w:cs="Aptos" w:eastAsia="Aptos" w:hAnsi="Aptos"/>
                <w:b/>
                <w:bCs/>
                <w:i w:val="false"/>
                <w:iCs w:val="false"/>
                <w:sz w:val="24"/>
                <w:szCs w:val="24"/>
              </w:rPr>
              <w:t xml:space="preserve">Effective Date: </w:t>
            </w:r>
            <w:r>
              <w:rPr>
                <w:rFonts w:ascii="Aptos" w:cs="Aptos" w:eastAsia="Aptos" w:hAnsi="Aptos"/>
                <w:b w:val="false"/>
                <w:bCs w:val="false"/>
                <w:i w:val="false"/>
                <w:iCs w:val="false"/>
                <w:sz w:val="24"/>
                <w:szCs w:val="24"/>
              </w:rPr>
              <w:t xml:space="preserve">[Date]    </w:t>
            </w:r>
            <w:r>
              <w:rPr>
                <w:rFonts w:ascii="Aptos" w:cs="Aptos" w:eastAsia="Aptos" w:hAnsi="Aptos"/>
                <w:b/>
                <w:bCs/>
                <w:i w:val="false"/>
                <w:iCs w:val="false"/>
                <w:sz w:val="24"/>
                <w:szCs w:val="24"/>
              </w:rPr>
              <w:t xml:space="preserve">Next Review: </w:t>
            </w:r>
            <w:r>
              <w:rPr>
                <w:rFonts w:ascii="Aptos" w:cs="Aptos" w:eastAsia="Aptos" w:hAnsi="Aptos"/>
                <w:b w:val="false"/>
                <w:bCs w:val="false"/>
                <w:i w:val="false"/>
                <w:iCs w:val="false"/>
                <w:sz w:val="24"/>
                <w:szCs w:val="24"/>
              </w:rPr>
              <w:t xml:space="preserve">[Date]</w:t>
            </w:r>
          </w:p>
          <w:p>
            <w:pPr>
              <w:spacing w:after="60"/>
            </w:pPr>
            <w:r>
              <w:rPr>
                <w:rFonts w:ascii="Aptos" w:cs="Aptos" w:eastAsia="Aptos" w:hAnsi="Aptos"/>
                <w:b/>
                <w:bCs/>
                <w:i w:val="false"/>
                <w:iCs w:val="false"/>
                <w:sz w:val="24"/>
                <w:szCs w:val="24"/>
              </w:rPr>
              <w:t xml:space="preserve">Owner: </w:t>
            </w:r>
            <w:r>
              <w:rPr>
                <w:rFonts w:ascii="Aptos" w:cs="Aptos" w:eastAsia="Aptos" w:hAnsi="Aptos"/>
                <w:b w:val="false"/>
                <w:bCs w:val="false"/>
                <w:i w:val="false"/>
                <w:iCs w:val="false"/>
                <w:sz w:val="24"/>
                <w:szCs w:val="24"/>
              </w:rPr>
              <w:t xml:space="preserve">[Role title]   </w:t>
            </w:r>
            <w:r>
              <w:rPr>
                <w:rFonts w:ascii="Aptos" w:cs="Aptos" w:eastAsia="Aptos" w:hAnsi="Aptos"/>
                <w:b w:val="false"/>
                <w:bCs w:val="false"/>
                <w:i/>
                <w:iCs/>
                <w:color w:val="595959"/>
                <w:sz w:val="24"/>
                <w:szCs w:val="24"/>
              </w:rPr>
              <w:t xml:space="preserve">«use a role, not a person’s name.»</w:t>
            </w:r>
          </w:p>
          <w:p>
            <w:pPr>
              <w:spacing w:after="20"/>
            </w:pPr>
            <w:r>
              <w:rPr>
                <w:rFonts w:ascii="Aptos" w:cs="Aptos" w:eastAsia="Aptos" w:hAnsi="Aptos"/>
                <w:b/>
                <w:bCs/>
                <w:i w:val="false"/>
                <w:iCs w:val="false"/>
                <w:sz w:val="24"/>
                <w:szCs w:val="24"/>
              </w:rPr>
              <w:t xml:space="preserve">Classification: </w:t>
            </w:r>
            <w:r>
              <w:rPr>
                <w:rFonts w:ascii="Aptos" w:cs="Aptos" w:eastAsia="Aptos" w:hAnsi="Aptos"/>
                <w:b w:val="false"/>
                <w:bCs w:val="false"/>
                <w:i w:val="false"/>
                <w:iCs w:val="false"/>
                <w:sz w:val="24"/>
                <w:szCs w:val="24"/>
              </w:rPr>
              <w:t xml:space="preserve">Internal</w:t>
            </w:r>
          </w:p>
          <w:p>
            <w:pPr>
              <w:spacing w:after="0"/>
            </w:pPr>
            <w:r>
              <w:rPr>
                <w:rFonts w:ascii="Aptos" w:hAnsi="Aptos"/>
                <w:color w:val="595959"/>
                <w:sz w:val="24"/>
              </w:rPr>
              <w:t xml:space="preserve">«Minimum for Policy artifacts. Scoped to protective DNS filtering; DNS technical configuration lives in the DNS Security Configuration Record. Your agency may raise but not lower this.»</w:t>
            </w:r>
          </w:p>
        </w:tc>
      </w:tr>
    </w:tbl>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trPr>
        <w:tc>
          <w:tcPr>
            <w:tcW w:type="dxa" w:w="9360"/>
            <w:tcBorders>
              <w:top w:val="single" w:color="BFBFBF" w:sz="4"/>
              <w:left w:val="single" w:color="BFBFBF" w:sz="4"/>
              <w:bottom w:val="single" w:color="BFBFBF" w:sz="4"/>
              <w:right w:val="single" w:color="BFBFBF" w:sz="4"/>
            </w:tcBorders>
            <w:shd w:fill="F4F1E8" w:val="clear"/>
            <w:tcMar>
              <w:top w:type="dxa" w:w="80"/>
              <w:left w:type="dxa" w:w="120"/>
              <w:bottom w:type="dxa" w:w="80"/>
              <w:right w:type="dxa" w:w="120"/>
            </w:tcMar>
          </w:tcPr>
          <w:p>
            <w:pPr>
              <w:spacing w:after="60"/>
            </w:pPr>
            <w:r>
              <w:rPr>
                <w:rFonts w:ascii="Aptos" w:hAnsi="Aptos"/>
                <w:b/>
                <w:color w:val="1B3A5C"/>
                <w:sz w:val="24"/>
              </w:rPr>
              <w:t xml:space="preserve">How to use this template </w:t>
            </w:r>
            <w:r>
              <w:rPr>
                <w:rFonts w:ascii="Aptos" w:hAnsi="Aptos"/>
                <w:b w:val="0"/>
                <w:color w:val="595959"/>
                <w:sz w:val="24"/>
              </w:rPr>
              <w:t>(delete this box before publishing)</w:t>
            </w:r>
          </w:p>
          <w:p>
            <w:pPr>
              <w:spacing w:after="140"/>
            </w:pPr>
            <w:r>
              <w:rPr>
                <w:rFonts w:ascii="Aptos" w:hAnsi="Aptos"/>
                <w:color w:val="595959"/>
                <w:sz w:val="24"/>
              </w:rPr>
              <w:t xml:space="preserve">This policy governs protective DNS filtering: which categories are blocked, how allow and deny requests are handled, and how the filtering is reviewed. It is scoped to filtering only.</w:t>
            </w:r>
          </w:p>
          <w:p>
            <w:pPr>
              <w:spacing w:after="0"/>
            </w:pPr>
            <w:r>
              <w:rPr>
                <w:rFonts w:ascii="Aptos" w:hAnsi="Aptos"/>
                <w:b/>
                <w:sz w:val="24"/>
              </w:rPr>
              <w:t xml:space="preserve">Placeholder key: </w:t>
            </w:r>
            <w:r>
              <w:rPr>
                <w:rFonts w:ascii="Aptos" w:hAnsi="Aptos"/>
                <w:b w:val="0"/>
                <w:sz w:val="24"/>
              </w:rPr>
              <w:t>[BRACKETED]</w:t>
            </w:r>
            <w:r>
              <w:rPr>
                <w:rFonts w:ascii="Aptos" w:hAnsi="Aptos"/>
                <w:b w:val="0"/>
                <w:sz w:val="24"/>
              </w:rPr>
              <w:t xml:space="preserve"> = fill in   ·   </w:t>
            </w:r>
            <w:r>
              <w:rPr>
                <w:rFonts w:ascii="Aptos" w:hAnsi="Aptos"/>
                <w:b/>
                <w:sz w:val="24"/>
              </w:rPr>
              <w:t>[REQUIRED]</w:t>
            </w:r>
            <w:r>
              <w:rPr>
                <w:rFonts w:ascii="Aptos" w:hAnsi="Aptos"/>
                <w:b w:val="0"/>
                <w:sz w:val="24"/>
              </w:rPr>
              <w:t xml:space="preserve"> (bold) = required field   ·   </w:t>
            </w:r>
            <w:r>
              <w:rPr>
                <w:rFonts w:ascii="Aptos" w:hAnsi="Aptos"/>
                <w:b w:val="0"/>
                <w:color w:val="595959"/>
                <w:sz w:val="24"/>
              </w:rPr>
              <w:t>« »</w:t>
            </w:r>
            <w:r>
              <w:rPr>
                <w:rFonts w:ascii="Aptos" w:hAnsi="Aptos"/>
                <w:b w:val="0"/>
                <w:sz w:val="24"/>
              </w:rPr>
              <w:t xml:space="preserve"> = guidance to delete.</w:t>
            </w:r>
          </w:p>
          <w:p>
            <w:pPr>
              <w:spacing w:after="140"/>
            </w:pPr>
            <w:r>
              <w:rPr>
                <w:rFonts w:ascii="Aptos" w:hAnsi="Aptos"/>
                <w:color w:val="595959"/>
                <w:sz w:val="24"/>
              </w:rPr>
              <w:t xml:space="preserve">DNS technical configuration (service separation, DNSSEC, secure baseline, logging) is held in the DNS Security Configuration Record, and DNS change governance runs through the Change Management Policy.</w:t>
            </w:r>
          </w:p>
        </w:tc>
      </w:tr>
    </w:tbl>
    <w:p>
      <w:pPr>
        <w:pStyle w:val="Heading2"/>
        <w:spacing w:after="100" w:before="220"/>
      </w:pPr>
      <w:r>
        <w:rPr>
          <w:rFonts w:ascii="Aptos" w:cs="Aptos" w:eastAsia="Aptos" w:hAnsi="Aptos"/>
          <w:b/>
          <w:bCs/>
          <w:color w:val="1B3A5C"/>
          <w:sz w:val="26"/>
          <w:szCs w:val="26"/>
        </w:rPr>
        <w:t xml:space="preserve">1. Purpose</w:t>
      </w:r>
    </w:p>
    <w:p>
      <w:pPr>
        <w:spacing w:after="140"/>
      </w:pPr>
      <w:r>
        <w:rPr>
          <w:rFonts w:ascii="Aptos" w:cs="Aptos" w:eastAsia="Aptos" w:hAnsi="Aptos"/>
          <w:i/>
          <w:iCs/>
          <w:color w:val="595959"/>
          <w:sz w:val="24"/>
          <w:szCs w:val="24"/>
        </w:rPr>
        <w:t xml:space="preserve">«Two or three sentences: what this policy governs and why the Agency maintains it. Name the outcome, not the activity.»</w:t>
      </w:r>
    </w:p>
    <w:p>
      <w:pPr>
        <w:spacing w:after="120" w:before="0"/>
      </w:pPr>
      <w:r>
        <w:rPr>
          <w:rFonts w:ascii="Aptos" w:cs="Aptos" w:eastAsia="Aptos" w:hAnsi="Aptos"/>
          <w:b w:val="0"/>
          <w:bCs w:val="false"/>
          <w:i w:val="false"/>
          <w:iCs w:val="false"/>
          <w:sz w:val="24"/>
          <w:szCs w:val="24"/>
        </w:rPr>
        <w:t xml:space="preserve">This policy sets how the Agency uses protective DNS filtering to block access to malicious and disallowed destinations. It governs what is filtered and how exceptions are handled; the technical DNS configuration is documented separately.</w:t>
      </w:r>
    </w:p>
    <w:p>
      <w:pPr>
        <w:pStyle w:val="Heading2"/>
        <w:spacing w:after="100" w:before="220"/>
      </w:pPr>
      <w:r>
        <w:rPr>
          <w:rFonts w:ascii="Aptos" w:cs="Aptos" w:eastAsia="Aptos" w:hAnsi="Aptos"/>
          <w:b/>
          <w:bCs/>
          <w:color w:val="1B3A5C"/>
          <w:sz w:val="26"/>
          <w:szCs w:val="26"/>
        </w:rPr>
        <w:t xml:space="preserve">2. Scope</w:t>
      </w:r>
    </w:p>
    <w:p>
      <w:pPr>
        <w:spacing w:after="140"/>
      </w:pPr>
      <w:r>
        <w:rPr>
          <w:rFonts w:ascii="Aptos" w:cs="Aptos" w:eastAsia="Aptos" w:hAnsi="Aptos"/>
          <w:i/>
          <w:iCs/>
          <w:color w:val="595959"/>
          <w:sz w:val="24"/>
          <w:szCs w:val="24"/>
        </w:rPr>
        <w:t xml:space="preserve">«Who and what the policy covers, and what it excludes. State exclusions explicitly.»</w:t>
      </w:r>
    </w:p>
    <w:p>
      <w:pPr>
        <w:pStyle w:val="ListParagraph"/>
        <w:numPr>
          <w:ilvl w:val="0"/>
          <w:numId w:val="2"/>
        </w:numPr>
        <w:spacing w:after="60"/>
      </w:pPr>
      <w:r>
        <w:rPr>
          <w:rFonts w:ascii="Aptos" w:cs="Aptos" w:eastAsia="Aptos" w:hAnsi="Aptos"/>
          <w:b w:val="0"/>
          <w:bCs w:val="false"/>
          <w:i w:val="false"/>
          <w:iCs w:val="false"/>
          <w:sz w:val="24"/>
          <w:szCs w:val="24"/>
        </w:rPr>
        <w:t xml:space="preserve">Applies to: DNS resolution for all Agency devices and the personnel who manage the filtering service.</w:t>
      </w:r>
    </w:p>
    <w:p>
      <w:pPr>
        <w:pStyle w:val="ListParagraph"/>
        <w:numPr>
          <w:ilvl w:val="0"/>
          <w:numId w:val="2"/>
        </w:numPr>
        <w:spacing w:after="60"/>
      </w:pPr>
      <w:r>
        <w:rPr>
          <w:rFonts w:ascii="Aptos" w:cs="Aptos" w:eastAsia="Aptos" w:hAnsi="Aptos"/>
          <w:b w:val="0"/>
          <w:bCs w:val="false"/>
          <w:i w:val="false"/>
          <w:iCs w:val="false"/>
          <w:sz w:val="24"/>
          <w:szCs w:val="24"/>
        </w:rPr>
        <w:t xml:space="preserve">Covers: the categories of destinations blocked, how allow and deny requests are approved and recorded, and the review of filtering effectiveness.</w:t>
      </w:r>
    </w:p>
    <w:p>
      <w:pPr>
        <w:pStyle w:val="ListParagraph"/>
        <w:numPr>
          <w:ilvl w:val="0"/>
          <w:numId w:val="2"/>
        </w:numPr>
        <w:spacing w:after="60"/>
      </w:pPr>
      <w:r>
        <w:rPr>
          <w:rFonts w:ascii="Aptos" w:cs="Aptos" w:eastAsia="Aptos" w:hAnsi="Aptos"/>
          <w:b w:val="0"/>
          <w:bCs w:val="false"/>
          <w:i w:val="false"/>
          <w:iCs w:val="false"/>
          <w:sz w:val="24"/>
          <w:szCs w:val="24"/>
        </w:rPr>
        <w:t xml:space="preserve">Excludes: DNS service configuration and security (separation, DNSSEC, logging), held in the DNS Security Configuration Record; and DNS change governance, held in the Change Management Policy.</w:t>
      </w:r>
    </w:p>
    <w:p>
      <w:pPr>
        <w:pStyle w:val="Heading2"/>
        <w:spacing w:after="100" w:before="220"/>
      </w:pPr>
      <w:r>
        <w:rPr>
          <w:rFonts w:ascii="Aptos" w:cs="Aptos" w:eastAsia="Aptos" w:hAnsi="Aptos"/>
          <w:b/>
          <w:bCs/>
          <w:color w:val="1B3A5C"/>
          <w:sz w:val="26"/>
          <w:szCs w:val="26"/>
        </w:rPr>
        <w:t xml:space="preserve">3. Definitions</w:t>
      </w:r>
    </w:p>
    <w:p>
      <w:pPr>
        <w:spacing w:after="140"/>
      </w:pPr>
      <w:r>
        <w:rPr>
          <w:rFonts w:ascii="Aptos" w:cs="Aptos" w:eastAsia="Aptos" w:hAnsi="Aptos"/>
          <w:i/>
          <w:iCs/>
          <w:color w:val="595959"/>
          <w:sz w:val="24"/>
          <w:szCs w:val="24"/>
        </w:rPr>
        <w:t xml:space="preserve">«Optional. Include only terms this policy uses with a narrower meaning than common usage. Do not define common operational terms (CAD, RMS, ESInet, dispatcher). Delete this section if not needed.»</w:t>
      </w:r>
    </w:p>
    <w:p>
      <w:pPr>
        <w:spacing w:after="120" w:before="0"/>
      </w:pPr>
      <w:r>
        <w:rPr>
          <w:rFonts w:ascii="Aptos" w:cs="Aptos" w:eastAsia="Aptos" w:hAnsi="Aptos"/>
          <w:b w:val="0"/>
          <w:bCs w:val="false"/>
          <w:i w:val="false"/>
          <w:iCs w:val="false"/>
          <w:sz w:val="24"/>
          <w:szCs w:val="24"/>
        </w:rPr>
        <w:t xml:space="preserve">Protective DNS: a resolver that blocks queries to known-malicious or disallowed domains.</w:t>
      </w:r>
    </w:p>
    <w:p>
      <w:pPr>
        <w:spacing w:after="120" w:before="0"/>
      </w:pPr>
      <w:r>
        <w:rPr>
          <w:rFonts w:ascii="Aptos" w:cs="Aptos" w:eastAsia="Aptos" w:hAnsi="Aptos"/>
          <w:b w:val="0"/>
          <w:bCs w:val="false"/>
          <w:i w:val="false"/>
          <w:iCs w:val="false"/>
          <w:sz w:val="24"/>
          <w:szCs w:val="24"/>
        </w:rPr>
        <w:t xml:space="preserve">Blocked category: a class of destinations (for example malware, phishing, or disallowed content) the Agency filters.</w:t>
      </w:r>
    </w:p>
    <w:p>
      <w:pPr>
        <w:pStyle w:val="Heading2"/>
        <w:spacing w:after="100" w:before="220"/>
      </w:pPr>
      <w:r>
        <w:rPr>
          <w:rFonts w:ascii="Aptos" w:cs="Aptos" w:eastAsia="Aptos" w:hAnsi="Aptos"/>
          <w:b/>
          <w:bCs/>
          <w:color w:val="1B3A5C"/>
          <w:sz w:val="26"/>
          <w:szCs w:val="26"/>
        </w:rPr>
        <w:t xml:space="preserve">4. Policy Statement</w:t>
      </w:r>
    </w:p>
    <w:p>
      <w:pPr>
        <w:spacing w:after="140"/>
      </w:pPr>
      <w:r>
        <w:rPr>
          <w:rFonts w:ascii="Aptos" w:cs="Aptos" w:eastAsia="Aptos" w:hAnsi="Aptos"/>
          <w:i/>
          <w:iCs/>
          <w:color w:val="595959"/>
          <w:sz w:val="24"/>
          <w:szCs w:val="24"/>
        </w:rPr>
        <w:t xml:space="preserve">«The enforceable core, as numbered statements. Use “The Agency shall…” / “Personnel are responsible for…”. One requirement per statement.»</w:t>
      </w:r>
    </w:p>
    <w:p>
      <w:pPr>
        <w:pStyle w:val="ListParagraph"/>
        <w:numPr>
          <w:ilvl w:val="0"/>
          <w:numId w:val="300"/>
        </w:numPr>
        <w:spacing w:after="60"/>
      </w:pPr>
      <w:r>
        <w:rPr>
          <w:rFonts w:ascii="Aptos" w:cs="Aptos" w:eastAsia="Aptos" w:hAnsi="Aptos"/>
          <w:b w:val="0"/>
          <w:bCs w:val="false"/>
          <w:i w:val="false"/>
          <w:iCs w:val="false"/>
          <w:sz w:val="24"/>
          <w:szCs w:val="24"/>
        </w:rPr>
        <w:t xml:space="preserve">The Agency shall resolve DNS through a protective filtering service that blocks known-malicious and disallowed destinations.</w:t>
      </w:r>
    </w:p>
    <w:p>
      <w:pPr>
        <w:pStyle w:val="ListParagraph"/>
        <w:numPr>
          <w:ilvl w:val="0"/>
          <w:numId w:val="300"/>
        </w:numPr>
        <w:spacing w:after="60"/>
      </w:pPr>
      <w:r>
        <w:rPr>
          <w:rFonts w:ascii="Aptos" w:cs="Aptos" w:eastAsia="Aptos" w:hAnsi="Aptos"/>
          <w:b w:val="0"/>
          <w:bCs w:val="false"/>
          <w:i w:val="false"/>
          <w:iCs w:val="false"/>
          <w:sz w:val="24"/>
          <w:szCs w:val="24"/>
        </w:rPr>
        <w:t xml:space="preserve">The Agency shall define the categories it blocks and review them on a set cadence.</w:t>
      </w:r>
    </w:p>
    <w:p>
      <w:pPr>
        <w:pStyle w:val="ListParagraph"/>
        <w:numPr>
          <w:ilvl w:val="0"/>
          <w:numId w:val="300"/>
        </w:numPr>
        <w:spacing w:after="60"/>
      </w:pPr>
      <w:r>
        <w:rPr>
          <w:rFonts w:ascii="Aptos" w:cs="Aptos" w:eastAsia="Aptos" w:hAnsi="Aptos"/>
          <w:b w:val="0"/>
          <w:bCs w:val="false"/>
          <w:i w:val="false"/>
          <w:iCs w:val="false"/>
          <w:sz w:val="24"/>
          <w:szCs w:val="24"/>
        </w:rPr>
        <w:t xml:space="preserve">Requests to allow or deny a specific destination shall be approved by the [Owner role] and recorded, with a stated reason.</w:t>
      </w:r>
    </w:p>
    <w:p>
      <w:pPr>
        <w:pStyle w:val="ListParagraph"/>
        <w:numPr>
          <w:ilvl w:val="0"/>
          <w:numId w:val="300"/>
        </w:numPr>
        <w:spacing w:after="60"/>
      </w:pPr>
      <w:r>
        <w:rPr>
          <w:rFonts w:ascii="Aptos" w:cs="Aptos" w:eastAsia="Aptos" w:hAnsi="Aptos"/>
          <w:b w:val="0"/>
          <w:bCs w:val="false"/>
          <w:i w:val="false"/>
          <w:iCs w:val="false"/>
          <w:sz w:val="24"/>
          <w:szCs w:val="24"/>
        </w:rPr>
        <w:t xml:space="preserve">Blocked-query events shall be logged and reviewed for signs of compromise, and confirmed threats are handled under the Incident Response Plan.</w:t>
      </w:r>
    </w:p>
    <w:p>
      <w:pPr>
        <w:pStyle w:val="ListParagraph"/>
        <w:numPr>
          <w:ilvl w:val="0"/>
          <w:numId w:val="300"/>
        </w:numPr>
        <w:spacing w:after="60"/>
      </w:pPr>
      <w:r>
        <w:rPr>
          <w:rFonts w:ascii="Aptos" w:cs="Aptos" w:eastAsia="Aptos" w:hAnsi="Aptos"/>
          <w:b w:val="0"/>
          <w:bCs w:val="false"/>
          <w:i w:val="false"/>
          <w:iCs w:val="false"/>
          <w:sz w:val="24"/>
          <w:szCs w:val="24"/>
        </w:rPr>
        <w:t xml:space="preserve">The filtering service shall not be bypassed; devices that resolve DNS outside it are brought back into policy.</w:t>
      </w:r>
    </w:p>
    <w:p>
      <w:pPr>
        <w:pStyle w:val="Heading2"/>
        <w:spacing w:after="100" w:before="220"/>
      </w:pPr>
      <w:r>
        <w:rPr>
          <w:rFonts w:ascii="Aptos" w:cs="Aptos" w:eastAsia="Aptos" w:hAnsi="Aptos"/>
          <w:b/>
          <w:bCs/>
          <w:color w:val="1B3A5C"/>
          <w:sz w:val="26"/>
          <w:szCs w:val="26"/>
        </w:rPr>
        <w:t xml:space="preserve">5. Roles &amp; Responsibilities</w:t>
      </w:r>
    </w:p>
    <w:p>
      <w:pPr>
        <w:spacing w:after="140"/>
      </w:pPr>
      <w:r>
        <w:rPr>
          <w:rFonts w:ascii="Aptos" w:cs="Aptos" w:eastAsia="Aptos" w:hAnsi="Aptos"/>
          <w:i/>
          <w:iCs/>
          <w:color w:val="595959"/>
          <w:sz w:val="24"/>
          <w:szCs w:val="24"/>
        </w:rPr>
        <w:t xml:space="preserve">«Each role that carries a duty under this policy and what it owns. Roles, not names.»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cantSplit/>
          <w:tblHeader/>
        </w:trPr>
        <w:tc>
          <w:tcPr>
            <w:tcW w:type="dxa" w:w="3000"/>
            <w:tcBorders>
              <w:top w:val="single" w:color="BFBFBF" w:sz="4"/>
              <w:left w:val="single" w:color="BFBFBF" w:sz="4"/>
              <w:bottom w:val="single" w:color="BFBFBF" w:sz="4"/>
              <w:right w:val="single" w:color="BFBFBF" w:sz="4"/>
            </w:tcBorders>
            <w:shd w:fill="1B3A5C" w:val="clear"/>
            <w:tcMar>
              <w:top w:type="dxa" w:w="80"/>
              <w:left w:type="dxa" w:w="120"/>
              <w:bottom w:type="dxa" w:w="80"/>
              <w:right w:type="dxa" w:w="120"/>
            </w:tcMar>
          </w:tcPr>
          <w:p>
            <w:r>
              <w:rPr>
                <w:rFonts w:ascii="Aptos" w:cs="Aptos" w:eastAsia="Aptos" w:hAnsi="Aptos"/>
                <w:b/>
                <w:bCs/>
                <w:color w:val="FFFFFF"/>
                <w:sz w:val="24"/>
                <w:szCs w:val="24"/>
              </w:rPr>
              <w:t xml:space="preserve">Role</w:t>
            </w:r>
          </w:p>
        </w:tc>
        <w:tc>
          <w:tcPr>
            <w:tcW w:type="dxa" w:w="6360"/>
            <w:tcBorders>
              <w:top w:val="single" w:color="BFBFBF" w:sz="4"/>
              <w:left w:val="single" w:color="BFBFBF" w:sz="4"/>
              <w:bottom w:val="single" w:color="BFBFBF" w:sz="4"/>
              <w:right w:val="single" w:color="BFBFBF" w:sz="4"/>
            </w:tcBorders>
            <w:shd w:fill="1B3A5C" w:val="clear"/>
            <w:tcMar>
              <w:top w:type="dxa" w:w="80"/>
              <w:left w:type="dxa" w:w="120"/>
              <w:bottom w:type="dxa" w:w="80"/>
              <w:right w:type="dxa" w:w="120"/>
            </w:tcMar>
          </w:tcPr>
          <w:p>
            <w:r>
              <w:rPr>
                <w:rFonts w:ascii="Aptos" w:cs="Aptos" w:eastAsia="Aptos" w:hAnsi="Aptos"/>
                <w:b/>
                <w:bCs/>
                <w:color w:val="FFFFFF"/>
                <w:sz w:val="24"/>
                <w:szCs w:val="24"/>
              </w:rPr>
              <w:t xml:space="preserve">Responsibility</w:t>
            </w:r>
          </w:p>
        </w:tc>
      </w:tr>
      <w:tr>
        <w:trPr>
          <w:cantSplit/>
        </w:trPr>
        <w:tc>
          <w:tcPr>
            <w:tcW w:type="dxa" w:w="30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0"/>
                <w:bCs w:val="false"/>
                <w:i w:val="false"/>
                <w:iCs w:val="false"/>
                <w:sz w:val="24"/>
                <w:szCs w:val="24"/>
              </w:rPr>
              <w:t xml:space="preserve">[Director / Coordinator]</w:t>
            </w:r>
          </w:p>
        </w:tc>
        <w:tc>
          <w:tcPr>
            <w:tcW w:type="dxa" w:w="63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0"/>
                <w:bCs w:val="false"/>
                <w:i w:val="false"/>
                <w:iCs w:val="false"/>
                <w:sz w:val="24"/>
                <w:szCs w:val="24"/>
              </w:rPr>
              <w:t xml:space="preserve">Owns this policy, approves the blocked-category set, and approves exceptions.</w:t>
            </w:r>
          </w:p>
        </w:tc>
      </w:tr>
      <w:tr>
        <w:trPr>
          <w:cantSplit/>
        </w:trPr>
        <w:tc>
          <w:tcPr>
            <w:tcW w:type="dxa" w:w="30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0"/>
                <w:bCs w:val="false"/>
                <w:i w:val="false"/>
                <w:iCs w:val="false"/>
                <w:sz w:val="24"/>
                <w:szCs w:val="24"/>
              </w:rPr>
              <w:t xml:space="preserve">[IT support (county / vendor / in-house)]</w:t>
            </w:r>
          </w:p>
        </w:tc>
        <w:tc>
          <w:tcPr>
            <w:tcW w:type="dxa" w:w="63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0"/>
                <w:bCs w:val="false"/>
                <w:i w:val="false"/>
                <w:iCs w:val="false"/>
                <w:sz w:val="24"/>
                <w:szCs w:val="24"/>
              </w:rPr>
              <w:t xml:space="preserve">Operates the filtering service and applies approved allow and deny changes.</w:t>
            </w:r>
          </w:p>
        </w:tc>
      </w:tr>
      <w:tr>
        <w:trPr>
          <w:cantSplit/>
        </w:trPr>
        <w:tc>
          <w:tcPr>
            <w:tcW w:type="dxa" w:w="30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0"/>
                <w:bCs w:val="false"/>
                <w:i w:val="false"/>
                <w:iCs w:val="false"/>
                <w:sz w:val="24"/>
                <w:szCs w:val="24"/>
              </w:rPr>
              <w:t xml:space="preserve">[Security coordinator]</w:t>
            </w:r>
          </w:p>
        </w:tc>
        <w:tc>
          <w:tcPr>
            <w:tcW w:type="dxa" w:w="63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0"/>
                <w:bCs w:val="false"/>
                <w:i w:val="false"/>
                <w:iCs w:val="false"/>
                <w:sz w:val="24"/>
                <w:szCs w:val="24"/>
              </w:rPr>
              <w:t xml:space="preserve">Reviews blocked-query activity and escalates suspected compromise.</w:t>
            </w:r>
          </w:p>
        </w:tc>
      </w:tr>
      <w:tr>
        <w:trPr>
          <w:cantSplit/>
        </w:trPr>
        <w:tc>
          <w:tcPr>
            <w:tcW w:type="dxa" w:w="30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0"/>
                <w:bCs w:val="false"/>
                <w:i w:val="false"/>
                <w:iCs w:val="false"/>
                <w:sz w:val="24"/>
                <w:szCs w:val="24"/>
              </w:rPr>
              <w:t xml:space="preserve">[All personnel]</w:t>
            </w:r>
          </w:p>
        </w:tc>
        <w:tc>
          <w:tcPr>
            <w:tcW w:type="dxa" w:w="63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0"/>
                <w:bCs w:val="false"/>
                <w:i w:val="false"/>
                <w:iCs w:val="false"/>
                <w:sz w:val="24"/>
                <w:szCs w:val="24"/>
              </w:rPr>
              <w:t xml:space="preserve">Use the Agency's DNS and report over-blocking or suspected bypass.</w:t>
            </w:r>
          </w:p>
        </w:tc>
      </w:tr>
    </w:tbl>
    <w:p>
      <w:pPr>
        <w:pStyle w:val="Heading2"/>
        <w:spacing w:after="100" w:before="220"/>
      </w:pPr>
      <w:r>
        <w:rPr>
          <w:rFonts w:ascii="Aptos" w:cs="Aptos" w:eastAsia="Aptos" w:hAnsi="Aptos"/>
          <w:b/>
          <w:bCs/>
          <w:color w:val="1B3A5C"/>
          <w:sz w:val="26"/>
          <w:szCs w:val="26"/>
        </w:rPr>
        <w:t xml:space="preserve">6. Enforcement</w:t>
      </w:r>
    </w:p>
    <w:p>
      <w:pPr>
        <w:spacing w:after="140"/>
      </w:pPr>
      <w:r>
        <w:rPr>
          <w:rFonts w:ascii="Aptos" w:cs="Aptos" w:eastAsia="Aptos" w:hAnsi="Aptos"/>
          <w:i/>
          <w:iCs/>
          <w:color w:val="595959"/>
          <w:sz w:val="24"/>
          <w:szCs w:val="24"/>
        </w:rPr>
        <w:t xml:space="preserve">«How compliance is monitored and what happens on violation. Reference the Agency’s corrective process; do not restate it.»</w:t>
      </w:r>
    </w:p>
    <w:p>
      <w:pPr>
        <w:spacing w:after="120" w:before="0"/>
      </w:pPr>
      <w:r>
        <w:rPr>
          <w:rFonts w:ascii="Aptos" w:cs="Aptos" w:eastAsia="Aptos" w:hAnsi="Aptos"/>
          <w:b w:val="0"/>
          <w:bCs w:val="false"/>
          <w:i w:val="false"/>
          <w:iCs w:val="false"/>
          <w:sz w:val="24"/>
          <w:szCs w:val="24"/>
        </w:rPr>
        <w:t xml:space="preserve">The [Director / Coordinator] monitors compliance. Devices that bypass protective DNS are corrected, and repeated violations are handled under the Agency's corrective-action process.</w:t>
      </w:r>
    </w:p>
    <w:p>
      <w:pPr>
        <w:pStyle w:val="Heading2"/>
        <w:spacing w:after="100" w:before="220"/>
      </w:pPr>
      <w:r>
        <w:rPr>
          <w:rFonts w:ascii="Aptos" w:cs="Aptos" w:eastAsia="Aptos" w:hAnsi="Aptos"/>
          <w:b/>
          <w:bCs/>
          <w:color w:val="1B3A5C"/>
          <w:sz w:val="26"/>
          <w:szCs w:val="26"/>
        </w:rPr>
        <w:t xml:space="preserve">7. Exceptions</w:t>
      </w:r>
    </w:p>
    <w:p>
      <w:pPr>
        <w:spacing w:after="140"/>
      </w:pPr>
      <w:r>
        <w:rPr>
          <w:rFonts w:ascii="Aptos" w:cs="Aptos" w:eastAsia="Aptos" w:hAnsi="Aptos"/>
          <w:i/>
          <w:iCs/>
          <w:color w:val="595959"/>
          <w:sz w:val="24"/>
          <w:szCs w:val="24"/>
        </w:rPr>
        <w:t xml:space="preserve">«Who may grant an exception, how it is requested and recorded, and how long it lasts before review.»</w:t>
      </w:r>
    </w:p>
    <w:p>
      <w:pPr>
        <w:spacing w:after="120" w:before="0"/>
      </w:pPr>
      <w:r>
        <w:rPr>
          <w:rFonts w:ascii="Aptos" w:cs="Aptos" w:eastAsia="Aptos" w:hAnsi="Aptos"/>
          <w:b w:val="0"/>
          <w:bCs w:val="false"/>
          <w:i w:val="false"/>
          <w:iCs w:val="false"/>
          <w:sz w:val="24"/>
          <w:szCs w:val="24"/>
        </w:rPr>
        <w:t xml:space="preserve">Exceptions require written approval from the [Director / Coordinator], must state the destination and the reason, and expire after [period] unless renewed.</w:t>
      </w:r>
    </w:p>
    <w:p>
      <w:pPr>
        <w:pStyle w:val="Heading2"/>
        <w:spacing w:after="100" w:before="220"/>
      </w:pPr>
      <w:r>
        <w:rPr>
          <w:rFonts w:ascii="Aptos" w:cs="Aptos" w:eastAsia="Aptos" w:hAnsi="Aptos"/>
          <w:b/>
          <w:bCs/>
          <w:color w:val="1B3A5C"/>
          <w:sz w:val="26"/>
          <w:szCs w:val="26"/>
        </w:rPr>
        <w:t xml:space="preserve">8. Review Schedule</w:t>
      </w:r>
    </w:p>
    <w:p>
      <w:pPr>
        <w:spacing w:after="140"/>
      </w:pPr>
      <w:r>
        <w:rPr>
          <w:rFonts w:ascii="Aptos" w:cs="Aptos" w:eastAsia="Aptos" w:hAnsi="Aptos"/>
          <w:i/>
          <w:iCs/>
          <w:color w:val="595959"/>
          <w:sz w:val="24"/>
          <w:szCs w:val="24"/>
        </w:rPr>
        <w:t xml:space="preserve">«Review cadence and trigger events (annual at minimum; also on significant change). Name the owning role.»</w:t>
      </w:r>
    </w:p>
    <w:p>
      <w:pPr>
        <w:spacing w:after="120" w:before="0"/>
      </w:pPr>
      <w:r>
        <w:rPr>
          <w:rFonts w:ascii="Aptos" w:cs="Aptos" w:eastAsia="Aptos" w:hAnsi="Aptos"/>
          <w:b w:val="0"/>
          <w:bCs w:val="false"/>
          <w:i w:val="false"/>
          <w:iCs w:val="false"/>
          <w:sz w:val="24"/>
          <w:szCs w:val="24"/>
        </w:rPr>
        <w:t xml:space="preserve">This policy is reviewed at least annually and after any significant change to the Agency's DNS or filtering service, by the [Owner role].</w:t>
      </w:r>
    </w:p>
    <w:p>
      <w:pPr>
        <w:pStyle w:val="Heading2"/>
        <w:spacing w:after="100" w:before="220"/>
      </w:pPr>
      <w:r>
        <w:rPr>
          <w:rFonts w:ascii="Aptos" w:cs="Aptos" w:eastAsia="Aptos" w:hAnsi="Aptos"/>
          <w:b/>
          <w:bCs/>
          <w:color w:val="1B3A5C"/>
          <w:sz w:val="26"/>
          <w:szCs w:val="26"/>
        </w:rPr>
        <w:t xml:space="preserve">Profile Scaling Notes</w:t>
      </w:r>
    </w:p>
    <w:p>
      <w:pPr>
        <w:spacing w:after="140"/>
      </w:pPr>
      <w:r>
        <w:rPr>
          <w:rFonts w:ascii="Aptos" w:cs="Aptos" w:eastAsia="Aptos" w:hAnsi="Aptos"/>
          <w:i/>
          <w:iCs/>
          <w:color w:val="595959"/>
          <w:sz w:val="24"/>
          <w:szCs w:val="24"/>
        </w:rPr>
        <w:t xml:space="preserve">One short paragraph per profile: what minimum-viable looks like for that reader and where to scale up. Keep all three if this ships as a template; delete the profiles that do not apply once adopted.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rPr>
          <w:cantSplit/>
          <w:tblHeader/>
        </w:trPr>
        <w:tc>
          <w:tcPr>
            <w:tcW w:type="dxa" w:w="3200"/>
            <w:tcBorders>
              <w:top w:val="single" w:color="BFBFBF" w:sz="4"/>
              <w:left w:val="single" w:color="BFBFBF" w:sz="4"/>
              <w:bottom w:val="single" w:color="BFBFBF" w:sz="4"/>
              <w:right w:val="single" w:color="BFBFBF" w:sz="4"/>
            </w:tcBorders>
            <w:shd w:fill="1B3A5C" w:val="clear"/>
            <w:tcMar>
              <w:top w:type="dxa" w:w="80"/>
              <w:left w:type="dxa" w:w="120"/>
              <w:bottom w:type="dxa" w:w="80"/>
              <w:right w:type="dxa" w:w="120"/>
            </w:tcMar>
          </w:tcPr>
          <w:p>
            <w:r>
              <w:rPr>
                <w:rFonts w:ascii="Aptos" w:cs="Aptos" w:eastAsia="Aptos" w:hAnsi="Aptos"/>
                <w:b/>
                <w:bCs/>
                <w:color w:val="FFFFFF"/>
                <w:sz w:val="24"/>
                <w:szCs w:val="24"/>
              </w:rPr>
              <w:t xml:space="preserve">PSAP Profile</w:t>
            </w:r>
          </w:p>
        </w:tc>
        <w:tc>
          <w:tcPr>
            <w:tcW w:type="dxa" w:w="6160"/>
            <w:tcBorders>
              <w:top w:val="single" w:color="BFBFBF" w:sz="4"/>
              <w:left w:val="single" w:color="BFBFBF" w:sz="4"/>
              <w:bottom w:val="single" w:color="BFBFBF" w:sz="4"/>
              <w:right w:val="single" w:color="BFBFBF" w:sz="4"/>
            </w:tcBorders>
            <w:shd w:fill="1B3A5C" w:val="clear"/>
            <w:tcMar>
              <w:top w:type="dxa" w:w="80"/>
              <w:left w:type="dxa" w:w="120"/>
              <w:bottom w:type="dxa" w:w="80"/>
              <w:right w:type="dxa" w:w="120"/>
            </w:tcMar>
          </w:tcPr>
          <w:p>
            <w:r>
              <w:rPr>
                <w:rFonts w:ascii="Aptos" w:cs="Aptos" w:eastAsia="Aptos" w:hAnsi="Aptos"/>
                <w:b/>
                <w:bCs/>
                <w:color w:val="FFFFFF"/>
                <w:sz w:val="24"/>
                <w:szCs w:val="24"/>
              </w:rPr>
              <w:t xml:space="preserve">Minimum-viable implementation</w:t>
            </w:r>
          </w:p>
        </w:tc>
      </w:tr>
      <w:tr>
        <w:trPr>
          <w:cantSplit/>
        </w:trPr>
        <w:tc>
          <w:tcPr>
            <w:tcW w:type="dxa" w:w="32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0"/>
                <w:bCs w:val="false"/>
                <w:i w:val="false"/>
                <w:iCs w:val="false"/>
                <w:sz w:val="24"/>
                <w:szCs w:val="24"/>
              </w:rPr>
              <w:t xml:space="preserve">Small (1–5 dispatchers, no in-house IT)</w:t>
            </w:r>
          </w:p>
        </w:tc>
        <w:tc>
          <w:tcPr>
            <w:tcW w:type="dxa" w:w="61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0"/>
                <w:bCs w:val="false"/>
                <w:i w:val="false"/>
                <w:iCs w:val="false"/>
                <w:sz w:val="24"/>
                <w:szCs w:val="24"/>
              </w:rPr>
              <w:t xml:space="preserve">Adopt as written. Use a hosted protective DNS service, point the router or devices at it, accept its default block categories, and have the director approve any exceptions. Review the blocked-query summary the service provides periodically.</w:t>
            </w:r>
          </w:p>
        </w:tc>
      </w:tr>
      <w:tr>
        <w:trPr>
          <w:cantSplit/>
        </w:trPr>
        <w:tc>
          <w:tcPr>
            <w:tcW w:type="dxa" w:w="32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0"/>
                <w:bCs w:val="false"/>
                <w:i w:val="false"/>
                <w:iCs w:val="false"/>
                <w:sz w:val="24"/>
                <w:szCs w:val="24"/>
              </w:rPr>
              <w:t xml:space="preserve">Medium (6–25, shared county IT)</w:t>
            </w:r>
          </w:p>
        </w:tc>
        <w:tc>
          <w:tcPr>
            <w:tcW w:type="dxa" w:w="61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0"/>
                <w:bCs w:val="false"/>
                <w:i w:val="false"/>
                <w:iCs w:val="false"/>
                <w:sz w:val="24"/>
                <w:szCs w:val="24"/>
              </w:rPr>
              <w:t xml:space="preserve">Shared county IT runs the filtering service, maintains the block categories and the allow and deny list, and reviews blocked-query activity with the security coordinator.</w:t>
            </w:r>
          </w:p>
        </w:tc>
      </w:tr>
      <w:tr>
        <w:trPr>
          <w:cantSplit/>
        </w:trPr>
        <w:tc>
          <w:tcPr>
            <w:tcW w:type="dxa" w:w="32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0"/>
                <w:bCs w:val="false"/>
                <w:i w:val="false"/>
                <w:iCs w:val="false"/>
                <w:sz w:val="24"/>
                <w:szCs w:val="24"/>
              </w:rPr>
              <w:t xml:space="preserve">Large (25+, dedicated IT/security)</w:t>
            </w:r>
          </w:p>
        </w:tc>
        <w:tc>
          <w:tcPr>
            <w:tcW w:type="dxa" w:w="61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0"/>
                <w:bCs w:val="false"/>
                <w:i w:val="false"/>
                <w:iCs w:val="false"/>
                <w:sz w:val="24"/>
                <w:szCs w:val="24"/>
              </w:rPr>
              <w:t xml:space="preserve">Filtering is enforced network-wide with tuned categories, an approval workflow for allow and deny changes, and blocked-query logs fed to the SIEM for review.</w:t>
            </w:r>
          </w:p>
        </w:tc>
      </w:tr>
    </w:tbl>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trPr>
        <w:tc>
          <w:tcPr>
            <w:tcW w:type="dxa" w:w="9360"/>
            <w:tcBorders>
              <w:top w:val="single" w:color="BFBFBF" w:sz="4"/>
              <w:left w:val="single" w:color="BFBFBF" w:sz="4"/>
              <w:bottom w:val="single" w:color="BFBFBF" w:sz="4"/>
              <w:right w:val="single" w:color="BFBFBF" w:sz="4"/>
            </w:tcBorders>
            <w:shd w:fill="EEF2F7" w:val="clear"/>
            <w:tcMar>
              <w:top w:type="dxa" w:w="80"/>
              <w:left w:type="dxa" w:w="120"/>
              <w:bottom w:type="dxa" w:w="80"/>
              <w:right w:type="dxa" w:w="120"/>
            </w:tcMar>
          </w:tcPr>
          <w:p>
            <w:pPr>
              <w:spacing w:after="60"/>
            </w:pPr>
            <w:r>
              <w:rPr>
                <w:rFonts w:ascii="Aptos" w:hAnsi="Aptos"/>
                <w:b/>
                <w:color w:val="1B3A5C"/>
                <w:sz w:val="24"/>
              </w:rPr>
              <w:t>Source Authority</w:t>
            </w:r>
          </w:p>
          <w:p>
            <w:pPr>
              <w:spacing w:after="140"/>
            </w:pPr>
            <w:r>
              <w:rPr>
                <w:rFonts w:ascii="Aptos" w:hAnsi="Aptos"/>
                <w:b w:val="0"/>
                <w:sz w:val="24"/>
              </w:rPr>
              <w:t xml:space="preserve">NENA-STA-040.2-2024: §5.6.4 (Intrusion Monitoring and Detection)</w:t>
            </w:r>
          </w:p>
          <w:p>
            <w:pPr>
              <w:spacing w:after="140"/>
            </w:pPr>
            <w:r>
              <w:rPr>
                <w:rFonts w:ascii="Aptos" w:hAnsi="Aptos"/>
                <w:b w:val="0"/>
                <w:sz w:val="24"/>
              </w:rPr>
              <w:t xml:space="preserve">NIST SP 800-53 Rev. 5: SC-7, SC-20, SC-21, SI-4</w:t>
            </w:r>
          </w:p>
        </w:tc>
      </w:tr>
    </w:tbl>
    <w:p>
      <w:pPr>
        <w:pStyle w:val="Heading2"/>
        <w:spacing w:after="100" w:before="220"/>
      </w:pPr>
      <w:r>
        <w:rPr>
          <w:rFonts w:ascii="Aptos" w:cs="Aptos" w:eastAsia="Aptos" w:hAnsi="Aptos"/>
          <w:b/>
          <w:bCs/>
          <w:color w:val="1B3A5C"/>
          <w:sz w:val="26"/>
          <w:szCs w:val="26"/>
        </w:rPr>
        <w:t xml:space="preserve">Approval Signatures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2360"/>
        <w:gridCol w:w="2600"/>
        <w:gridCol w:w="1400"/>
      </w:tblGrid>
      <w:tr>
        <w:trPr>
          <w:cantSplit/>
          <w:tblHeader/>
        </w:trPr>
        <w:tc>
          <w:tcPr>
            <w:tcW w:type="dxa" w:w="3000"/>
            <w:tcBorders>
              <w:top w:val="single" w:color="BFBFBF" w:sz="4"/>
              <w:left w:val="single" w:color="BFBFBF" w:sz="4"/>
              <w:bottom w:val="single" w:color="BFBFBF" w:sz="4"/>
              <w:right w:val="single" w:color="BFBFBF" w:sz="4"/>
            </w:tcBorders>
            <w:shd w:fill="1B3A5C" w:val="clear"/>
            <w:tcMar>
              <w:top w:type="dxa" w:w="80"/>
              <w:left w:type="dxa" w:w="120"/>
              <w:bottom w:type="dxa" w:w="80"/>
              <w:right w:type="dxa" w:w="120"/>
            </w:tcMar>
          </w:tcPr>
          <w:p>
            <w:r>
              <w:rPr>
                <w:rFonts w:ascii="Aptos" w:cs="Aptos" w:eastAsia="Aptos" w:hAnsi="Aptos"/>
                <w:b/>
                <w:bCs/>
                <w:color w:val="FFFFFF"/>
                <w:sz w:val="24"/>
                <w:szCs w:val="24"/>
              </w:rPr>
              <w:t xml:space="preserve">Role</w:t>
            </w:r>
          </w:p>
        </w:tc>
        <w:tc>
          <w:tcPr>
            <w:tcW w:type="dxa" w:w="2360"/>
            <w:tcBorders>
              <w:top w:val="single" w:color="BFBFBF" w:sz="4"/>
              <w:left w:val="single" w:color="BFBFBF" w:sz="4"/>
              <w:bottom w:val="single" w:color="BFBFBF" w:sz="4"/>
              <w:right w:val="single" w:color="BFBFBF" w:sz="4"/>
            </w:tcBorders>
            <w:shd w:fill="1B3A5C" w:val="clear"/>
            <w:tcMar>
              <w:top w:type="dxa" w:w="80"/>
              <w:left w:type="dxa" w:w="120"/>
              <w:bottom w:type="dxa" w:w="80"/>
              <w:right w:type="dxa" w:w="120"/>
            </w:tcMar>
          </w:tcPr>
          <w:p>
            <w:r>
              <w:rPr>
                <w:rFonts w:ascii="Aptos" w:cs="Aptos" w:eastAsia="Aptos" w:hAnsi="Aptos"/>
                <w:b/>
                <w:bCs/>
                <w:color w:val="FFFFFF"/>
                <w:sz w:val="24"/>
                <w:szCs w:val="24"/>
              </w:rPr>
              <w:t xml:space="preserve">Name</w:t>
            </w:r>
          </w:p>
        </w:tc>
        <w:tc>
          <w:tcPr>
            <w:tcW w:type="dxa" w:w="2600"/>
            <w:tcBorders>
              <w:top w:val="single" w:color="BFBFBF" w:sz="4"/>
              <w:left w:val="single" w:color="BFBFBF" w:sz="4"/>
              <w:bottom w:val="single" w:color="BFBFBF" w:sz="4"/>
              <w:right w:val="single" w:color="BFBFBF" w:sz="4"/>
            </w:tcBorders>
            <w:shd w:fill="1B3A5C" w:val="clear"/>
            <w:tcMar>
              <w:top w:type="dxa" w:w="80"/>
              <w:left w:type="dxa" w:w="120"/>
              <w:bottom w:type="dxa" w:w="80"/>
              <w:right w:type="dxa" w:w="120"/>
            </w:tcMar>
          </w:tcPr>
          <w:p>
            <w:r>
              <w:rPr>
                <w:rFonts w:ascii="Aptos" w:cs="Aptos" w:eastAsia="Aptos" w:hAnsi="Aptos"/>
                <w:b/>
                <w:bCs/>
                <w:color w:val="FFFFFF"/>
                <w:sz w:val="24"/>
                <w:szCs w:val="24"/>
              </w:rPr>
              <w:t xml:space="preserve">Signature</w:t>
            </w:r>
          </w:p>
        </w:tc>
        <w:tc>
          <w:tcPr>
            <w:tcW w:type="dxa" w:w="1400"/>
            <w:tcBorders>
              <w:top w:val="single" w:color="BFBFBF" w:sz="4"/>
              <w:left w:val="single" w:color="BFBFBF" w:sz="4"/>
              <w:bottom w:val="single" w:color="BFBFBF" w:sz="4"/>
              <w:right w:val="single" w:color="BFBFBF" w:sz="4"/>
            </w:tcBorders>
            <w:shd w:fill="1B3A5C" w:val="clear"/>
            <w:tcMar>
              <w:top w:type="dxa" w:w="80"/>
              <w:left w:type="dxa" w:w="120"/>
              <w:bottom w:type="dxa" w:w="80"/>
              <w:right w:type="dxa" w:w="120"/>
            </w:tcMar>
          </w:tcPr>
          <w:p>
            <w:r>
              <w:rPr>
                <w:rFonts w:ascii="Aptos" w:cs="Aptos" w:eastAsia="Aptos" w:hAnsi="Aptos"/>
                <w:b/>
                <w:bCs/>
                <w:color w:val="FFFFFF"/>
                <w:sz w:val="24"/>
                <w:szCs w:val="24"/>
              </w:rPr>
              <w:t xml:space="preserve">Date</w:t>
            </w:r>
          </w:p>
        </w:tc>
      </w:tr>
      <w:tr>
        <w:trPr>
          <w:cantSplit/>
        </w:trPr>
        <w:tc>
          <w:tcPr>
            <w:tcW w:type="dxa" w:w="30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 xml:space="preserve">[Approving official / title]</w:t>
            </w:r>
          </w:p>
        </w:tc>
        <w:tc>
          <w:tcPr>
            <w:tcW w:type="dxa" w:w="2360"/>
            <w:tcBorders>
              <w:top w:val="single" w:color="BFBFBF" w:sz="4"/>
              <w:left w:val="single" w:color="BFBFBF" w:sz="4"/>
              <w:bottom w:val="single" w:color="BFBFBF" w:sz="4"/>
              <w:right w:val="single" w:color="BFBFBF" w:sz="4"/>
            </w:tcBorders>
            <w:tcMar>
              <w:top w:type="dxa" w:w="80"/>
              <w:left w:type="dxa" w:w="120"/>
              <w:bottom w:type="dxa" w:w="80"/>
              <w:right w:type="dxa" w:w="120"/>
            </w:tcMar>
          </w:tcPr>
          <w:p/>
        </w:tc>
        <w:tc>
          <w:tcPr>
            <w:tcW w:type="dxa" w:w="2600"/>
            <w:tcBorders>
              <w:top w:val="single" w:color="BFBFBF" w:sz="4"/>
              <w:left w:val="single" w:color="BFBFBF" w:sz="4"/>
              <w:bottom w:val="single" w:color="BFBFBF" w:sz="4"/>
              <w:right w:val="single" w:color="BFBFBF" w:sz="4"/>
            </w:tcBorders>
            <w:tcMar>
              <w:top w:type="dxa" w:w="80"/>
              <w:left w:type="dxa" w:w="120"/>
              <w:bottom w:type="dxa" w:w="80"/>
              <w:right w:type="dxa" w:w="120"/>
            </w:tcMar>
          </w:tcPr>
          <w:p/>
        </w:tc>
        <w:tc>
          <w:tcPr>
            <w:tcW w:type="dxa" w:w="1400"/>
            <w:tcBorders>
              <w:top w:val="single" w:color="BFBFBF" w:sz="4"/>
              <w:left w:val="single" w:color="BFBFBF" w:sz="4"/>
              <w:bottom w:val="single" w:color="BFBFBF" w:sz="4"/>
              <w:right w:val="single" w:color="BFBFBF" w:sz="4"/>
            </w:tcBorders>
            <w:tcMar>
              <w:top w:type="dxa" w:w="80"/>
              <w:left w:type="dxa" w:w="120"/>
              <w:bottom w:type="dxa" w:w="80"/>
              <w:right w:type="dxa" w:w="120"/>
            </w:tcMar>
          </w:tcPr>
          <w:p/>
        </w:tc>
      </w:tr>
      <w:tr>
        <w:trPr>
          <w:cantSplit/>
        </w:trPr>
        <w:tc>
          <w:tcPr>
            <w:tcW w:type="dxa" w:w="30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 xml:space="preserve">[Owner role]</w:t>
            </w:r>
          </w:p>
        </w:tc>
        <w:tc>
          <w:tcPr>
            <w:tcW w:type="dxa" w:w="2360"/>
            <w:tcBorders>
              <w:top w:val="single" w:color="BFBFBF" w:sz="4"/>
              <w:left w:val="single" w:color="BFBFBF" w:sz="4"/>
              <w:bottom w:val="single" w:color="BFBFBF" w:sz="4"/>
              <w:right w:val="single" w:color="BFBFBF" w:sz="4"/>
            </w:tcBorders>
            <w:tcMar>
              <w:top w:type="dxa" w:w="80"/>
              <w:left w:type="dxa" w:w="120"/>
              <w:bottom w:type="dxa" w:w="80"/>
              <w:right w:type="dxa" w:w="120"/>
            </w:tcMar>
          </w:tcPr>
          <w:p/>
        </w:tc>
        <w:tc>
          <w:tcPr>
            <w:tcW w:type="dxa" w:w="2600"/>
            <w:tcBorders>
              <w:top w:val="single" w:color="BFBFBF" w:sz="4"/>
              <w:left w:val="single" w:color="BFBFBF" w:sz="4"/>
              <w:bottom w:val="single" w:color="BFBFBF" w:sz="4"/>
              <w:right w:val="single" w:color="BFBFBF" w:sz="4"/>
            </w:tcBorders>
            <w:tcMar>
              <w:top w:type="dxa" w:w="80"/>
              <w:left w:type="dxa" w:w="120"/>
              <w:bottom w:type="dxa" w:w="80"/>
              <w:right w:type="dxa" w:w="120"/>
            </w:tcMar>
          </w:tcPr>
          <w:p/>
        </w:tc>
        <w:tc>
          <w:tcPr>
            <w:tcW w:type="dxa" w:w="1400"/>
            <w:tcBorders>
              <w:top w:val="single" w:color="BFBFBF" w:sz="4"/>
              <w:left w:val="single" w:color="BFBFBF" w:sz="4"/>
              <w:bottom w:val="single" w:color="BFBFBF" w:sz="4"/>
              <w:right w:val="single" w:color="BFBFBF" w:sz="4"/>
            </w:tcBorders>
            <w:tcMar>
              <w:top w:type="dxa" w:w="80"/>
              <w:left w:type="dxa" w:w="120"/>
              <w:bottom w:type="dxa" w:w="80"/>
              <w:right w:type="dxa" w:w="120"/>
            </w:tcMar>
          </w:tcPr>
          <w:p/>
        </w:tc>
      </w:tr>
    </w:tbl>
    <w:p>
      <w:pPr>
        <w:pStyle w:val="Heading2"/>
        <w:spacing w:after="100" w:before="220"/>
      </w:pPr>
      <w:r>
        <w:rPr>
          <w:rFonts w:ascii="Aptos" w:cs="Aptos" w:eastAsia="Aptos" w:hAnsi="Aptos"/>
          <w:b/>
          <w:bCs/>
          <w:color w:val="1B3A5C"/>
          <w:sz w:val="26"/>
          <w:szCs w:val="26"/>
        </w:rPr>
        <w:t xml:space="preserve">Revision History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00"/>
        <w:gridCol w:w="1600"/>
        <w:gridCol w:w="2200"/>
        <w:gridCol w:w="4260"/>
      </w:tblGrid>
      <w:tr>
        <w:trPr>
          <w:cantSplit/>
          <w:tblHeader/>
        </w:trPr>
        <w:tc>
          <w:tcPr>
            <w:tcW w:type="dxa" w:w="1300"/>
            <w:tcBorders>
              <w:top w:val="single" w:color="BFBFBF" w:sz="4"/>
              <w:left w:val="single" w:color="BFBFBF" w:sz="4"/>
              <w:bottom w:val="single" w:color="BFBFBF" w:sz="4"/>
              <w:right w:val="single" w:color="BFBFBF" w:sz="4"/>
            </w:tcBorders>
            <w:shd w:fill="1B3A5C" w:val="clear"/>
            <w:tcMar>
              <w:top w:type="dxa" w:w="80"/>
              <w:left w:type="dxa" w:w="120"/>
              <w:bottom w:type="dxa" w:w="80"/>
              <w:right w:type="dxa" w:w="120"/>
            </w:tcMar>
          </w:tcPr>
          <w:p>
            <w:r>
              <w:rPr>
                <w:rFonts w:ascii="Aptos" w:cs="Aptos" w:eastAsia="Aptos" w:hAnsi="Aptos"/>
                <w:b/>
                <w:bCs/>
                <w:color w:val="FFFFFF"/>
                <w:sz w:val="24"/>
                <w:szCs w:val="24"/>
              </w:rPr>
              <w:t xml:space="preserve">Version</w:t>
            </w:r>
          </w:p>
        </w:tc>
        <w:tc>
          <w:tcPr>
            <w:tcW w:type="dxa" w:w="1600"/>
            <w:tcBorders>
              <w:top w:val="single" w:color="BFBFBF" w:sz="4"/>
              <w:left w:val="single" w:color="BFBFBF" w:sz="4"/>
              <w:bottom w:val="single" w:color="BFBFBF" w:sz="4"/>
              <w:right w:val="single" w:color="BFBFBF" w:sz="4"/>
            </w:tcBorders>
            <w:shd w:fill="1B3A5C" w:val="clear"/>
            <w:tcMar>
              <w:top w:type="dxa" w:w="80"/>
              <w:left w:type="dxa" w:w="120"/>
              <w:bottom w:type="dxa" w:w="80"/>
              <w:right w:type="dxa" w:w="120"/>
            </w:tcMar>
          </w:tcPr>
          <w:p>
            <w:r>
              <w:rPr>
                <w:rFonts w:ascii="Aptos" w:cs="Aptos" w:eastAsia="Aptos" w:hAnsi="Aptos"/>
                <w:b/>
                <w:bCs/>
                <w:color w:val="FFFFFF"/>
                <w:sz w:val="24"/>
                <w:szCs w:val="24"/>
              </w:rPr>
              <w:t xml:space="preserve">Date</w:t>
            </w:r>
          </w:p>
        </w:tc>
        <w:tc>
          <w:tcPr>
            <w:tcW w:type="dxa" w:w="2200"/>
            <w:tcBorders>
              <w:top w:val="single" w:color="BFBFBF" w:sz="4"/>
              <w:left w:val="single" w:color="BFBFBF" w:sz="4"/>
              <w:bottom w:val="single" w:color="BFBFBF" w:sz="4"/>
              <w:right w:val="single" w:color="BFBFBF" w:sz="4"/>
            </w:tcBorders>
            <w:shd w:fill="1B3A5C" w:val="clear"/>
            <w:tcMar>
              <w:top w:type="dxa" w:w="80"/>
              <w:left w:type="dxa" w:w="120"/>
              <w:bottom w:type="dxa" w:w="80"/>
              <w:right w:type="dxa" w:w="120"/>
            </w:tcMar>
          </w:tcPr>
          <w:p>
            <w:r>
              <w:rPr>
                <w:rFonts w:ascii="Aptos" w:cs="Aptos" w:eastAsia="Aptos" w:hAnsi="Aptos"/>
                <w:b/>
                <w:bCs/>
                <w:color w:val="FFFFFF"/>
                <w:sz w:val="24"/>
                <w:szCs w:val="24"/>
              </w:rPr>
              <w:t xml:space="preserve">Author</w:t>
            </w:r>
          </w:p>
        </w:tc>
        <w:tc>
          <w:tcPr>
            <w:tcW w:type="dxa" w:w="4260"/>
            <w:tcBorders>
              <w:top w:val="single" w:color="BFBFBF" w:sz="4"/>
              <w:left w:val="single" w:color="BFBFBF" w:sz="4"/>
              <w:bottom w:val="single" w:color="BFBFBF" w:sz="4"/>
              <w:right w:val="single" w:color="BFBFBF" w:sz="4"/>
            </w:tcBorders>
            <w:shd w:fill="1B3A5C" w:val="clear"/>
            <w:tcMar>
              <w:top w:type="dxa" w:w="80"/>
              <w:left w:type="dxa" w:w="120"/>
              <w:bottom w:type="dxa" w:w="80"/>
              <w:right w:type="dxa" w:w="120"/>
            </w:tcMar>
          </w:tcPr>
          <w:p>
            <w:r>
              <w:rPr>
                <w:rFonts w:ascii="Aptos" w:cs="Aptos" w:eastAsia="Aptos" w:hAnsi="Aptos"/>
                <w:b/>
                <w:bCs/>
                <w:color w:val="FFFFFF"/>
                <w:sz w:val="24"/>
                <w:szCs w:val="24"/>
              </w:rPr>
              <w:t xml:space="preserve">Summary of Change</w:t>
            </w:r>
          </w:p>
        </w:tc>
      </w:tr>
      <w:tr>
        <w:trPr>
          <w:cantSplit/>
        </w:trPr>
        <w:tc>
          <w:tcPr>
            <w:tcW w:type="dxa" w:w="13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 xml:space="preserve">[#]</w:t>
            </w:r>
          </w:p>
        </w:tc>
        <w:tc>
          <w:tcPr>
            <w:tcW w:type="dxa" w:w="16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 xml:space="preserve">[Date]</w:t>
            </w:r>
          </w:p>
        </w:tc>
        <w:tc>
          <w:tcPr>
            <w:tcW w:type="dxa" w:w="22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 xml:space="preserve">[Role]</w:t>
            </w:r>
          </w:p>
        </w:tc>
        <w:tc>
          <w:tcPr>
            <w:tcW w:type="dxa" w:w="42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 xml:space="preserve">[Initial issue]</w:t>
            </w:r>
          </w:p>
        </w:tc>
      </w:tr>
    </w:tbl>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trPr>
        <w:tc>
          <w:tcPr>
            <w:tcW w:type="dxa" w:w="9360"/>
            <w:tcBorders>
              <w:top w:val="single" w:color="BFBFBF" w:sz="4"/>
              <w:left w:val="single" w:color="BFBFBF" w:sz="4"/>
              <w:bottom w:val="single" w:color="BFBFBF" w:sz="4"/>
              <w:right w:val="single" w:color="BFBFBF" w:sz="4"/>
            </w:tcBorders>
            <w:shd w:fill="F4F1E8" w:val="clear"/>
            <w:tcMar>
              <w:top w:type="dxa" w:w="80"/>
              <w:left w:type="dxa" w:w="120"/>
              <w:bottom w:type="dxa" w:w="80"/>
              <w:right w:type="dxa" w:w="120"/>
            </w:tcMar>
          </w:tcPr>
          <w:p>
            <w:pPr>
              <w:spacing w:after="60"/>
            </w:pPr>
            <w:r>
              <w:rPr>
                <w:rFonts w:ascii="Aptos" w:hAnsi="Aptos"/>
                <w:b/>
                <w:color w:val="1B3A5C"/>
                <w:sz w:val="24"/>
              </w:rPr>
              <w:t xml:space="preserve">Drafter’s note </w:t>
            </w:r>
            <w:r>
              <w:rPr>
                <w:rFonts w:ascii="Aptos" w:hAnsi="Aptos"/>
                <w:b w:val="0"/>
                <w:color w:val="595959"/>
                <w:sz w:val="24"/>
              </w:rPr>
              <w:t>(internal, delete before publishing)</w:t>
            </w:r>
          </w:p>
          <w:p>
            <w:pPr>
              <w:spacing w:after="140"/>
            </w:pPr>
            <w:r>
              <w:rPr>
                <w:rFonts w:ascii="Aptos" w:hAnsi="Aptos"/>
                <w:color w:val="595959"/>
                <w:sz w:val="24"/>
              </w:rPr>
              <w:t xml:space="preserve">DNS Filtering Policy for category 4.C. Scoped to protective filtering only; the DNS technical configuration (authoritative and recursive separation, DNSSEC or encrypted DNS, secure baseline, admin MFA, query logging) is held in the DNS Security Configuration Record, and DNS change governance runs through the Change Management Policy. The assessment 4C-1 technical detail is answered by the DNS Security Configuration Record; this policy is the governance layer. Cross-referenced by Tracker name: DNS Security Configuration Record, Change Management Policy, Incident Response Plan. Confirm the precise NENA clause and the Agency's block-category set.</w:t>
            </w:r>
          </w:p>
        </w:tc>
      </w:tr>
    </w:tbl>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ptos" w:cs="Aptos" w:eastAsia="Aptos" w:hAnsi="Aptos"/>
        <w:color w:val="595959"/>
        <w:sz w:val="18"/>
        <w:szCs w:val="18"/>
      </w:rPr>
      <w:t xml:space="preserve">Page </w:t>
    </w:r>
    <w:r>
      <w:rPr>
        <w:rFonts w:ascii="Aptos" w:cs="Aptos" w:eastAsia="Aptos" w:hAnsi="Aptos"/>
        <w:color w:val="595959"/>
        <w:sz w:val="18"/>
        <w:szCs w:val="18"/>
      </w:rPr>
      <w:fldChar w:fldCharType="begin"/>
      <w:instrText xml:space="preserve">PAGE</w:instrText>
      <w:fldChar w:fldCharType="separate"/>
      <w:fldChar w:fldCharType="end"/>
    </w:r>
    <w:r>
      <w:rPr>
        <w:rFonts w:ascii="Aptos" w:cs="Aptos" w:eastAsia="Aptos" w:hAnsi="Aptos"/>
        <w:color w:val="595959"/>
        <w:sz w:val="18"/>
        <w:szCs w:val="18"/>
      </w:rPr>
      <w:t xml:space="preserve"> of </w:t>
    </w:r>
    <w:r>
      <w:rPr>
        <w:rFonts w:ascii="Aptos" w:cs="Aptos" w:eastAsia="Aptos" w:hAnsi="Aptos"/>
        <w:color w:val="595959"/>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B3A5C" w:sz="6" w:space="2"/>
      </w:pBdr>
      <w:jc w:val="right"/>
    </w:pPr>
    <w:r>
      <w:rPr>
        <w:rFonts w:ascii="Aptos" w:cs="Aptos" w:eastAsia="Aptos" w:hAnsi="Aptos"/>
        <w:color w:val="595959"/>
        <w:sz w:val="16"/>
        <w:szCs w:val="16"/>
      </w:rPr>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left"/>
      <w:pPr>
        <w:ind w:left="600" w:hanging="320"/>
      </w:pPr>
    </w:lvl>
  </w:abstractNum>
  <w:abstractNum w:abstractNumId="3" w15:restartNumberingAfterBreak="0">
    <w:multiLevelType w:val="hybridMultilevel"/>
    <w:lvl w:ilvl="0" w15:tentative="1">
      <w:start w:val="1"/>
      <w:numFmt w:val="decimal"/>
      <w:lvlText w:val="%1."/>
      <w:lvlJc w:val="left"/>
      <w:pPr>
        <w:ind w:left="600" w:hanging="320"/>
      </w:pPr>
    </w:lvl>
  </w:abstractNum>
  <w:abstractNum w:abstractNumId="4" w15:restartNumberingAfterBreak="0">
    <w:multiLevelType w:val="hybridMultilevel"/>
    <w:lvl w:ilvl="0" w15:tentative="1">
      <w:start w:val="1"/>
      <w:numFmt w:val="bullet"/>
      <w:lvlText w:val="•"/>
      <w:lvlJc w:val="left"/>
      <w:pPr>
        <w:ind w:left="600" w:hanging="320"/>
      </w:pPr>
    </w:lvl>
  </w:abstractNum>
  <w:abstractNum w:abstractNumId="5" w15:restartNumberingAfterBreak="0">
    <w:multiLevelType w:val="hybridMultilevel"/>
    <w:lvl w:ilvl="0" w15:tentative="1">
      <w:start w:val="1"/>
      <w:numFmt w:val="bullet"/>
      <w:lvlText w:val="•"/>
      <w:lvlJc w:val="left"/>
      <w:pPr>
        <w:ind w:left="600" w:hanging="320"/>
      </w:pPr>
    </w:lvl>
  </w:abstractNum>
  <w:abstractNum w:abstractNumId="6" w15:restartNumberingAfterBreak="0">
    <w:multiLevelType w:val="hybridMultilevel"/>
    <w:lvl w:ilvl="0" w15:tentative="1">
      <w:start w:val="1"/>
      <w:numFmt w:val="decimal"/>
      <w:lvlText w:val="%1."/>
      <w:lvlJc w:val="left"/>
      <w:pPr>
        <w:ind w:left="600" w:hanging="320"/>
      </w:pPr>
    </w:lvl>
  </w:abstractNum>
  <w:abstractNum w:abstractNumId="7" w15:restartNumberingAfterBreak="0">
    <w:multiLevelType w:val="hybridMultilevel"/>
    <w:lvl w:ilvl="0" w15:tentative="1">
      <w:start w:val="1"/>
      <w:numFmt w:val="decimal"/>
      <w:lvlText w:val="%1."/>
      <w:lvlJc w:val="left"/>
      <w:pPr>
        <w:ind w:left="600" w:hanging="320"/>
      </w:pPr>
    </w:lvl>
  </w:abstractNum>
  <w:abstractNum w:abstractNumId="8" w15:restartNumberingAfterBreak="0">
    <w:multiLevelType w:val="hybridMultilevel"/>
    <w:lvl w:ilvl="0" w15:tentative="1">
      <w:start w:val="1"/>
      <w:numFmt w:val="decimal"/>
      <w:lvlText w:val="%1."/>
      <w:lvlJc w:val="left"/>
      <w:pPr>
        <w:ind w:left="600" w:hanging="320"/>
      </w:pPr>
    </w:lvl>
  </w:abstractNum>
  <w:abstractNum w:abstractNumId="9" w15:restartNumberingAfterBreak="0">
    <w:multiLevelType w:val="hybridMultilevel"/>
    <w:lvl w:ilvl="0" w15:tentative="1">
      <w:start w:val="1"/>
      <w:numFmt w:val="bullet"/>
      <w:lvlText w:val="•"/>
      <w:lvlJc w:val="left"/>
      <w:pPr>
        <w:ind w:left="600" w:hanging="320"/>
      </w:pPr>
    </w:lvl>
  </w:abstractNum>
  <w:abstractNum w:abstractNumId="10" w15:restartNumberingAfterBreak="0">
    <w:multiLevelType w:val="hybridMultilevel"/>
    <w:lvl w:ilvl="0" w15:tentative="1">
      <w:start w:val="1"/>
      <w:numFmt w:val="bullet"/>
      <w:lvlText w:val="•"/>
      <w:lvlJc w:val="left"/>
      <w:pPr>
        <w:ind w:left="600" w:hanging="320"/>
      </w:pPr>
    </w:lvl>
  </w:abstractNum>
  <w:abstractNum w:abstractNumId="11" w15:restartNumberingAfterBreak="0">
    <w:multiLevelType w:val="hybridMultilevel"/>
    <w:lvl w:ilvl="0" w15:tentative="1">
      <w:start w:val="1"/>
      <w:numFmt w:val="bullet"/>
      <w:lvlText w:val="•"/>
      <w:lvlJc w:val="left"/>
      <w:pPr>
        <w:ind w:left="600" w:hanging="320"/>
      </w:pPr>
    </w:lvl>
  </w:abstractNum>
  <w:abstractNum w:abstractNumId="12" w15:restartNumberingAfterBreak="0">
    <w:multiLevelType w:val="hybridMultilevel"/>
    <w:lvl w:ilvl="0" w15:tentative="1">
      <w:start w:val="1"/>
      <w:numFmt w:val="bullet"/>
      <w:lvlText w:val="•"/>
      <w:lvlJc w:val="left"/>
      <w:pPr>
        <w:ind w:left="600" w:hanging="320"/>
      </w:pPr>
    </w:lvl>
  </w:abstractNum>
  <w:num w:numId="1">
    <w:abstractNumId w:val="1"/>
    <w:lvlOverride w:ilvl="0">
      <w:startOverride w:val="1"/>
    </w:lvlOverride>
  </w:num>
  <w:num w:numId="2">
    <w:abstractNumId w:val="4"/>
    <w:lvlOverride w:ilvl="0">
      <w:startOverride w:val="1"/>
    </w:lvlOverride>
  </w:num>
  <w:num w:numId="3">
    <w:abstractNumId w:val="2"/>
    <w:lvlOverride w:ilvl="0">
      <w:startOverride w:val="1"/>
    </w:lvlOverride>
  </w:num>
  <w:num w:numId="300">
    <w:abstractNumId w:val="8"/>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ptos" w:cs="Aptos" w:eastAsia="Aptos" w:hAnsi="Aptos"/>
        <w:sz w:val="24"/>
        <w:szCs w:val="24"/>
      </w:rPr>
    </w:rPrDefault>
    <w:pPrDefault/>
  </w:docDefaults>
  <w:style w:type="paragraph" w:styleId="Title">
    <w:name w:val="Title"/>
    <w:basedOn w:val="Normal"/>
    <w:next w:val="Normal"/>
    <w:qFormat/>
    <w:rPr>
      <w:sz w:val="56"/>
      <w:szCs w:val="56"/>
    </w:rPr>
  </w:style>
  <w:style w:type="paragraph" w:styleId="Heading3">
    <w:name w:val="Heading 3"/>
    <w:basedOn w:val="Normal"/>
    <w:next w:val="Normal"/>
    <w:qFormat/>
    <w:pPr>
      <w:keepNext/>
      <w:keepLines/>
      <w:spacing w:after="100" w:before="220"/>
      <w:outlineLvl w:val="2"/>
    </w:pPr>
    <w:rPr>
      <w:rFonts w:ascii="Aptos" w:cs="Aptos" w:eastAsia="Aptos" w:hAnsi="Aptos"/>
      <w:b/>
      <w:bCs/>
      <w:color w:val="1B3A5C"/>
      <w:sz w:val="26"/>
      <w:szCs w:val="26"/>
    </w:rPr>
  </w:style>
  <w:style w:type="paragraph" w:styleId="Heading4">
    <w:name w:val="Heading 4"/>
    <w:basedOn w:val="Normal"/>
    <w:next w:val="Normal"/>
    <w:qFormat/>
    <w:pPr>
      <w:keepNext/>
      <w:keepLines/>
      <w:spacing w:after="100" w:before="220"/>
      <w:outlineLvl w:val="3"/>
    </w:pPr>
    <w:rPr>
      <w:rFonts w:ascii="Aptos" w:cs="Aptos" w:eastAsia="Aptos" w:hAnsi="Aptos"/>
      <w:b/>
      <w:bCs/>
      <w:color w:val="1B3A5C"/>
      <w:sz w:val="24"/>
      <w:szCs w:val="24"/>
    </w:rPr>
  </w:style>
  <w:style w:type="paragraph" w:styleId="Heading5">
    <w:name w:val="Heading 5"/>
    <w:basedOn w:val="Normal"/>
    <w:next w:val="Normal"/>
    <w:qFormat/>
    <w:pPr>
      <w:keepNext/>
      <w:keepLines/>
      <w:spacing w:after="100" w:before="220"/>
      <w:outlineLvl w:val="4"/>
    </w:pPr>
    <w:rPr>
      <w:rFonts w:ascii="Aptos" w:cs="Aptos" w:eastAsia="Aptos" w:hAnsi="Aptos"/>
      <w:b/>
      <w:bCs/>
      <w:color w:val="1B3A5C"/>
      <w:sz w:val="24"/>
      <w:szCs w:val="24"/>
    </w:rPr>
  </w:style>
  <w:style w:type="paragraph" w:styleId="Heading6">
    <w:name w:val="Heading 6"/>
    <w:basedOn w:val="Normal"/>
    <w:next w:val="Normal"/>
    <w:qFormat/>
    <w:pPr>
      <w:keepNext/>
      <w:keepLines/>
      <w:spacing w:after="100" w:before="220"/>
      <w:outlineLvl w:val="5"/>
    </w:pPr>
    <w:rPr>
      <w:rFonts w:ascii="Aptos" w:cs="Aptos" w:eastAsia="Aptos" w:hAnsi="Aptos"/>
      <w:b/>
      <w:bCs/>
      <w:color w:val="1B3A5C"/>
      <w:sz w:val="24"/>
      <w:szCs w:val="24"/>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keepNext/>
      <w:keepLines/>
      <w:spacing w:after="160" w:before="240"/>
      <w:outlineLvl w:val="0"/>
    </w:pPr>
    <w:rPr>
      <w:rFonts w:ascii="Aptos" w:cs="Aptos" w:eastAsia="Aptos" w:hAnsi="Aptos"/>
      <w:b/>
      <w:bCs/>
      <w:color w:val="1B3A5C"/>
      <w:sz w:val="32"/>
      <w:szCs w:val="32"/>
    </w:rPr>
  </w:style>
  <w:style w:type="paragraph" w:styleId="Heading2">
    <w:name w:val="Heading 2"/>
    <w:basedOn w:val="Normal"/>
    <w:next w:val="Normal"/>
    <w:qFormat/>
    <w:pPr>
      <w:keepNext/>
      <w:keepLines/>
      <w:spacing w:after="100" w:before="220"/>
      <w:outlineLvl w:val="1"/>
    </w:pPr>
    <w:rPr>
      <w:rFonts w:ascii="Aptos" w:cs="Aptos" w:eastAsia="Aptos" w:hAnsi="Aptos"/>
      <w:b/>
      <w:bCs/>
      <w:color w:val="1B3A5C"/>
      <w:sz w:val="26"/>
      <w:szCs w:val="26"/>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911 Authority in partnership with IN911</dc:creator>
  <cp:lastModifiedBy/>
  <cp:revision>1</cp:revision>
  <dcterms:created xsi:type="dcterms:W3CDTF">2026-06-01T15:29:11.401Z</dcterms:created>
  <dcterms:modified xsi:type="dcterms:W3CDTF">2026-06-01T15:29:11.401Z</dcterms:modified>
  <dc:title xmlns:dc="http://purl.org/dc/elements/1.1/">DNS Filtering Policy - FORM</dc:title>
</cp:coreProperties>
</file>

<file path=docProps/custom.xml><?xml version="1.0" encoding="utf-8"?>
<Properties xmlns="http://schemas.openxmlformats.org/officeDocument/2006/custom-properties" xmlns:vt="http://schemas.openxmlformats.org/officeDocument/2006/docPropsVTypes"/>
</file>