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VPN / Remote Access Configuration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Restricted / CJIS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Configuration Record artifacts. Stays Restricted; the / CJIS overlay is appended because remote access reaches systems carrying CJIS-regulated data, in Indiana through IDACS. Your agency may raise but not lower this.»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system this record documents and why. A Configuration Record captures the as-built state; it is evidence of compliance with the governing Standard, not the rule itself.»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record documents the as-built configuration of the Agency’s remote access: the approved connection tools, how remote sessions authenticate, the split-tunneling stance, the session controls, and how remote-access activity is logged and monitored. It is evidence of compliance with the Remote Access Policy, not the rule itself. Record one record per remote-access method, and record settings as they are configured, not as they should be.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«Identify the system precisely. Tie the Asset ID back to the Master Asset Inventory.»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[remote-access method: staff VPN / vendor support session / virtual desktop]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[production]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[gateway location / cloud service]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Asset 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[ID from Master Asset Inventory]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as-built state. Record settings as they are, not as they should be.»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Current value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[Approved client and gateway]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[named client / appliance]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the only remote-access path in use for this method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[Authentication]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[MFA method; key-based SSH; approved ciphers]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[MFA required for every remote session]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[Split-tunneling stance]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[disabled / permitted with rules]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[traffic handling during a remote session]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[Device posture / attestation]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[checks required before connect]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[patch, endpoint protection, disk encryption]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[Idle timeout and disconnect]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[e.g., 15 min idle; drop on VPN loss]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[session lock and termination behavior]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[Session logging]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[what is recorded; where it goes]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[attempts, sessions, and failures logged]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[Session monitoring and retention]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[review path; retention period]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[reviewed in the Log Review Records]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Settings and Deviation Log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approved baseline value for each setting and any approved deviation, with who approved it and when.»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value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Deviation?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[setting]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[value]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[Y / N]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[setting]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[value]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[Y / N]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and how often the as-built state is checked against the approved baseline, and who does it. Each change is recorded in the Change History below.»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Validated against the Remote Access Policy at least [quarterly] by the [Owner role]; changes to approved clients, ciphers, timeout values, and split-tunneling rules are recorded in the Change History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One approved remote method, usually the hosted VPN or virtual desktop built into the Agency’s platform, with MFA on. Record the client, the MFA method, and the idle-timeout, and confirm vendor sessions are supervised.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 records the approved remote-access methods, enforces MFA and device checks, and keeps remote-access logs. A separate record covers each method the Agency runs.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 enterprise remote-access or zero-trust gateway enforces MFA, device attestation, and split-tunnel rules, with session logs feeding the SIEM and reviewed in the Log Review Records. Each method has its own record.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NENA-STA-040.2-2024: §6.6 (Inactive Sessions); §6.7.1 (Remote Access Device Security); §6.17 (Remote Access)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NIST SP 800-53 Rev. 5: AC-11, AC-12, AC-17, IA-2, SC-8, SC-10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Indiana statutes and administrative code: 240 IAC 5 (IDACS Security, where IDACS is in scope)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CJIS Security Policy v5.9: §5.5.6 (Remote Access; CJIS-regulated systems reached remotely,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[System owner (role)]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[Security reviewer (role)]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«This table is the Configuration Record’s required change-history element. Add one row per configuration change.»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VPN / Remote Access Configuration Records for category 4.F. Restricted / CJIS: remote access reaches CJIS-regulated systems, in Indiana through IDACS. This record documents the as-built remote access and implements the Remote Access Policy; perimeter device rules live in the Firewall Ruleset Documentation, the connection list in the External Connection Inventory, and remote-session review in the Log Review Records. Build one record per remote-access method. Confirm the Agency’s approved clients, authentication, split-tunneling stance, timeout values, and session-logging path.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VPN / Remote Access Configuration Records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