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Event Review Meeting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this record: it captures aggregate security-event review. Stays Restricted; raise to Confidential if it records sensitive incident detail.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per meeting,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Meeting Identification</w:t>
      </w:r>
    </w:p>
    <w:p>
      <w:pPr>
        <w:spacing w:after="140"/>
      </w:pPr>
      <w:r>
        <w:rPr>
          <w:rFonts w:ascii="Aptos" w:cs="Aptos" w:eastAsia="Aptos" w:hAnsi="Aptos"/>
          <w:i/>
          <w:iCs/>
          <w:color w:val="595959"/>
          <w:sz w:val="24"/>
          <w:szCs w:val="24"/>
        </w:rPr>
        <w:t xml:space="preserve">«One line each. This is the periodic security event review meeting. Record when and where it met and the cadence it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Date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Time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[start] to [end]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Location / medium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[room / video bridge]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Meeting type &amp; cadence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Weekly Security Event Review]</w:t>
            </w:r>
          </w:p>
        </w:tc>
      </w:tr>
    </w:tbl>
    <w:p>
      <w:pPr>
        <w:pStyle w:val="Heading2"/>
        <w:spacing w:after="100" w:before="220"/>
      </w:pPr>
      <w:r>
        <w:rPr>
          <w:rFonts w:ascii="Aptos" w:cs="Aptos" w:eastAsia="Aptos" w:hAnsi="Aptos"/>
          <w:b/>
          <w:bCs/>
          <w:color w:val="1B3A5C"/>
          <w:sz w:val="26"/>
          <w:szCs w:val="26"/>
        </w:rPr>
        <w:t xml:space="preserve">2. Attendees</w:t>
      </w:r>
    </w:p>
    <w:p>
      <w:pPr>
        <w:spacing w:after="140"/>
      </w:pPr>
      <w:r>
        <w:rPr>
          <w:rFonts w:ascii="Aptos" w:cs="Aptos" w:eastAsia="Aptos" w:hAnsi="Aptos"/>
          <w:i/>
          <w:iCs/>
          <w:color w:val="595959"/>
          <w:sz w:val="24"/>
          <w:szCs w:val="24"/>
        </w:rPr>
        <w:t xml:space="preserve">«List everyone present and their role. Names are expected here; this is a record, not a brand-free policy. Mark absences.»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cantSplit/>
          <w:tblHeader/>
        </w:trPr>
        <w:tc>
          <w:tcPr>
            <w:tcW w:type="dxa" w:w="3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4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Present (Y/N)</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 / title]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[Y/N]</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 / title]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[Y/N]</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 / title]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[Y/N]</w:t>
            </w:r>
          </w:p>
        </w:tc>
      </w:tr>
    </w:tbl>
    <w:p>
      <w:pPr>
        <w:pStyle w:val="Heading2"/>
        <w:spacing w:after="100" w:before="220"/>
      </w:pPr>
      <w:r>
        <w:rPr>
          <w:rFonts w:ascii="Aptos" w:cs="Aptos" w:eastAsia="Aptos" w:hAnsi="Aptos"/>
          <w:b/>
          <w:bCs/>
          <w:color w:val="1B3A5C"/>
          <w:sz w:val="26"/>
          <w:szCs w:val="26"/>
        </w:rPr>
        <w:t xml:space="preserve">3. Topics Reviewed</w:t>
      </w:r>
    </w:p>
    <w:p>
      <w:pPr>
        <w:spacing w:after="140"/>
      </w:pPr>
      <w:r>
        <w:rPr>
          <w:rFonts w:ascii="Aptos" w:cs="Aptos" w:eastAsia="Aptos" w:hAnsi="Aptos"/>
          <w:i/>
          <w:iCs/>
          <w:color w:val="595959"/>
          <w:sz w:val="24"/>
          <w:szCs w:val="24"/>
        </w:rPr>
        <w:t xml:space="preserve">«What the review covered. Keep each line short; attach detail rather than restating it.»</w:t>
      </w:r>
    </w:p>
    <w:p>
      <w:pPr>
        <w:spacing w:after="120" w:before="0"/>
      </w:pPr>
      <w:r>
        <w:rPr>
          <w:rFonts w:ascii="Aptos" w:cs="Aptos" w:eastAsia="Aptos" w:hAnsi="Aptos"/>
          <w:b/>
          <w:bCs/>
          <w:i w:val="false"/>
          <w:iCs w:val="false"/>
          <w:sz w:val="24"/>
          <w:szCs w:val="24"/>
        </w:rPr>
        <w:t xml:space="preserve">Sources and period reviewed: [log and monitoring sources, and the time span].</w:t>
      </w:r>
    </w:p>
    <w:p>
      <w:pPr>
        <w:spacing w:after="120" w:before="0"/>
      </w:pPr>
      <w:r>
        <w:rPr>
          <w:rFonts w:ascii="Aptos" w:cs="Aptos" w:eastAsia="Aptos" w:hAnsi="Aptos"/>
          <w:b/>
          <w:bCs/>
          <w:i w:val="false"/>
          <w:iCs w:val="false"/>
          <w:sz w:val="24"/>
          <w:szCs w:val="24"/>
        </w:rPr>
        <w:t xml:space="preserve">Volume and notable events: [key counts and any notable events].</w:t>
      </w:r>
    </w:p>
    <w:p>
      <w:pPr>
        <w:spacing w:after="120" w:before="0"/>
      </w:pPr>
      <w:r>
        <w:rPr>
          <w:rFonts w:ascii="Aptos" w:cs="Aptos" w:eastAsia="Aptos" w:hAnsi="Aptos"/>
          <w:b/>
          <w:bCs/>
          <w:i w:val="false"/>
          <w:iCs w:val="false"/>
          <w:sz w:val="24"/>
          <w:szCs w:val="24"/>
        </w:rPr>
        <w:t xml:space="preserve">Anomalies examined: [anomalies reviewed and how each was investigated].</w:t>
      </w:r>
    </w:p>
    <w:p>
      <w:pPr>
        <w:spacing w:after="120" w:before="0"/>
      </w:pPr>
      <w:r>
        <w:rPr>
          <w:rFonts w:ascii="Aptos" w:cs="Aptos" w:eastAsia="Aptos" w:hAnsi="Aptos"/>
          <w:b/>
          <w:bCs/>
          <w:i w:val="false"/>
          <w:iCs w:val="false"/>
          <w:sz w:val="24"/>
          <w:szCs w:val="24"/>
        </w:rPr>
        <w:t xml:space="preserve">Open items carried from the last review: [items still open].</w:t>
      </w:r>
    </w:p>
    <w:p>
      <w:pPr>
        <w:pStyle w:val="Heading2"/>
        <w:spacing w:after="100" w:before="220"/>
      </w:pPr>
      <w:r>
        <w:rPr>
          <w:rFonts w:ascii="Aptos" w:cs="Aptos" w:eastAsia="Aptos" w:hAnsi="Aptos"/>
          <w:b/>
          <w:bCs/>
          <w:color w:val="1B3A5C"/>
          <w:sz w:val="26"/>
          <w:szCs w:val="26"/>
        </w:rPr>
        <w:t xml:space="preserve">4. Decisions &amp; Priorities</w:t>
      </w:r>
    </w:p>
    <w:p>
      <w:pPr>
        <w:spacing w:after="140"/>
      </w:pPr>
      <w:r>
        <w:rPr>
          <w:rFonts w:ascii="Aptos" w:cs="Aptos" w:eastAsia="Aptos" w:hAnsi="Aptos"/>
          <w:i/>
          <w:iCs/>
          <w:color w:val="595959"/>
          <w:sz w:val="24"/>
          <w:szCs w:val="24"/>
        </w:rPr>
        <w:t xml:space="preserve">«Each decision the review made and the priorities set for the next period. One per line.»</w:t>
      </w:r>
    </w:p>
    <w:p>
      <w:pPr>
        <w:spacing w:after="120" w:before="0"/>
      </w:pPr>
      <w:r>
        <w:rPr>
          <w:rFonts w:ascii="Aptos" w:cs="Aptos" w:eastAsia="Aptos" w:hAnsi="Aptos"/>
          <w:b w:val="false"/>
          <w:bCs w:val="false"/>
          <w:i w:val="false"/>
          <w:iCs w:val="false"/>
          <w:sz w:val="24"/>
          <w:szCs w:val="24"/>
        </w:rPr>
        <w:t xml:space="preserve">[decision or priority].</w:t>
      </w:r>
    </w:p>
    <w:p>
      <w:pPr>
        <w:spacing w:after="120" w:before="0"/>
      </w:pPr>
      <w:r>
        <w:rPr>
          <w:rFonts w:ascii="Aptos" w:cs="Aptos" w:eastAsia="Aptos" w:hAnsi="Aptos"/>
          <w:b w:val="false"/>
          <w:bCs w:val="false"/>
          <w:i w:val="false"/>
          <w:iCs w:val="false"/>
          <w:sz w:val="24"/>
          <w:szCs w:val="24"/>
        </w:rPr>
        <w:t xml:space="preserve">[decision or priority].</w:t>
      </w:r>
    </w:p>
    <w:p>
      <w:pPr>
        <w:pStyle w:val="Heading2"/>
        <w:spacing w:after="100" w:before="220"/>
      </w:pPr>
      <w:r>
        <w:rPr>
          <w:rFonts w:ascii="Aptos" w:cs="Aptos" w:eastAsia="Aptos" w:hAnsi="Aptos"/>
          <w:b/>
          <w:bCs/>
          <w:color w:val="1B3A5C"/>
          <w:sz w:val="26"/>
          <w:szCs w:val="26"/>
        </w:rPr>
        <w:t xml:space="preserve">5. Action Items</w:t>
      </w:r>
    </w:p>
    <w:p>
      <w:pPr>
        <w:spacing w:after="140"/>
      </w:pPr>
      <w:r>
        <w:rPr>
          <w:rFonts w:ascii="Aptos" w:cs="Aptos" w:eastAsia="Aptos" w:hAnsi="Aptos"/>
          <w:i/>
          <w:iCs/>
          <w:color w:val="595959"/>
          <w:sz w:val="24"/>
          <w:szCs w:val="24"/>
        </w:rPr>
        <w:t xml:space="preserve">«Each action, the role that owns it, and when it is due. Mirror items that carry risk into the Risk / Finding Register (POA&amp;M).»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560"/>
        <w:gridCol w:w="1400"/>
      </w:tblGrid>
      <w:tr>
        <w:trPr>
          <w:cantSplit/>
          <w:tblHeader/>
        </w:trPr>
        <w:tc>
          <w:tcPr>
            <w:tcW w:type="dxa" w:w="4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 Item</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w:t>
            </w:r>
          </w:p>
        </w:tc>
      </w:tr>
    </w:tbl>
    <w:p>
      <w:pPr>
        <w:pStyle w:val="Heading2"/>
        <w:spacing w:after="100" w:before="220"/>
      </w:pPr>
      <w:r>
        <w:rPr>
          <w:rFonts w:ascii="Aptos" w:cs="Aptos" w:eastAsia="Aptos" w:hAnsi="Aptos"/>
          <w:b/>
          <w:bCs/>
          <w:color w:val="1B3A5C"/>
          <w:sz w:val="26"/>
          <w:szCs w:val="26"/>
        </w:rPr>
        <w:t xml:space="preserve">6. Next Meeting</w:t>
      </w:r>
    </w:p>
    <w:p>
      <w:pPr>
        <w:spacing w:after="140"/>
      </w:pPr>
      <w:r>
        <w:rPr>
          <w:rFonts w:ascii="Aptos" w:cs="Aptos" w:eastAsia="Aptos" w:hAnsi="Aptos"/>
          <w:i/>
          <w:iCs/>
          <w:color w:val="595959"/>
          <w:sz w:val="24"/>
          <w:szCs w:val="24"/>
        </w:rPr>
        <w:t xml:space="preserve">«Date and focus of the next scheduled review.»</w:t>
      </w:r>
    </w:p>
    <w:p>
      <w:pPr>
        <w:spacing w:after="120" w:before="0"/>
      </w:pP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 Focus: [topic].</w:t>
      </w:r>
    </w:p>
    <w:p>
      <w:pPr>
        <w:pStyle w:val="Heading2"/>
        <w:spacing w:after="100" w:before="220"/>
      </w:pPr>
      <w:r>
        <w:rPr>
          <w:rFonts w:ascii="Aptos" w:cs="Aptos" w:eastAsia="Aptos" w:hAnsi="Aptos"/>
          <w:b/>
          <w:bCs/>
          <w:color w:val="1B3A5C"/>
          <w:sz w:val="26"/>
          <w:szCs w:val="26"/>
        </w:rPr>
        <w:t xml:space="preserve">Retention</w:t>
      </w:r>
    </w:p>
    <w:p>
      <w:pPr>
        <w:spacing w:after="140"/>
      </w:pPr>
      <w:r>
        <w:rPr>
          <w:rFonts w:ascii="Aptos" w:cs="Aptos" w:eastAsia="Aptos" w:hAnsi="Aptos"/>
          <w:i/>
          <w:iCs/>
          <w:color w:val="595959"/>
          <w:sz w:val="24"/>
          <w:szCs w:val="24"/>
        </w:rPr>
        <w:t xml:space="preserve">«State how long these records are retained and where, per the Log Retention Schedule.»</w:t>
      </w:r>
    </w:p>
    <w:p>
      <w:pPr>
        <w:spacing w:after="120" w:before="0"/>
      </w:pPr>
      <w:r>
        <w:rPr>
          <w:rFonts w:ascii="Aptos" w:cs="Aptos" w:eastAsia="Aptos" w:hAnsi="Aptos"/>
          <w:b/>
          <w:bCs/>
          <w:i w:val="false"/>
          <w:iCs w:val="false"/>
          <w:sz w:val="24"/>
          <w:szCs w:val="24"/>
        </w:rPr>
        <w:t xml:space="preserve">Retention: [period], stored [location], per the Log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§5.6.2 (Security Event Logging);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[Chair / presiding official]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Event Review Meeting Records for category 7.C. Restricted; raise to Confidential if a record captures sensitive incident detail. This record is the dated evidence of the periodic aggregate security-event review meeting governed by the Security Event Review Procedures; routine per-source log review is recorded in the Log Review Records. Names are expected here, as in any meeting record. Confirm the Agency’s review cadence, the sources reviewed, and where these records are retained.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Event Review Meeting Records - FORM</dc:title>
</cp:coreProperties>
</file>

<file path=docProps/custom.xml><?xml version="1.0" encoding="utf-8"?>
<Properties xmlns="http://schemas.openxmlformats.org/officeDocument/2006/custom-properties" xmlns:vt="http://schemas.openxmlformats.org/officeDocument/2006/docPropsVTypes"/>
</file>