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i w:val="0"/>
          <w:color w:val="1B3A5C"/>
          <w:sz w:val="40"/>
          <w:szCs w:val="40"/>
        </w:rPr>
        <w:t>Single-Point-of-Failure Assessment Record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Cover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Assessment date: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   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Assessor (role):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Scope: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the Agency’s systems and paths reviewed for single points of failure, read against the System Redundancy Design Documentation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  <w:p>
            <w:pPr>
              <w:spacing w:after="2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>Restricted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«Minimum for Report / Assessment artifacts. Raise to Confidential if the report names individuals as subjects.»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How to use this template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(delete this box before publishing)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b w:val="0"/>
                <w:i/>
                <w:iCs/>
                <w:color w:val="595959"/>
                <w:sz w:val="24"/>
                <w:szCs w:val="24"/>
              </w:rPr>
              <w:t>This template is ready to adopt. Replace every [BRACKETED] field with your agency’s information, write the content described in each « » note, then delete all « » notes before publishing.</w:t>
            </w:r>
          </w:p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Placeholder key: 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[BRACKETED]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fill in   ·   </w:t>
            </w:r>
            <w:r>
              <w:rPr>
                <w:rFonts w:ascii="Aptos" w:cs="Aptos" w:eastAsia="Aptos" w:hAnsi="Aptos"/>
                <w:b/>
                <w:bCs/>
                <w:i w:val="false"/>
                <w:iCs w:val="false"/>
                <w:sz w:val="24"/>
                <w:szCs w:val="24"/>
              </w:rPr>
              <w:t xml:space="preserve">[REQUIRED]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(bold) = required field   ·   </w:t>
            </w:r>
            <w:r>
              <w:rPr>
                <w:rFonts w:ascii="Aptos" w:cs="Aptos" w:eastAsia="Aptos" w:hAnsi="Aptos"/>
                <w:b w:val="false"/>
                <w:bCs w:val="false"/>
                <w:i/>
                <w:iCs/>
                <w:color w:val="595959"/>
                <w:sz w:val="24"/>
                <w:szCs w:val="24"/>
              </w:rPr>
              <w:t xml:space="preserve">« »</w:t>
            </w:r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= guidance to delete.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Keep the body director-readable. Push technical detail and contact lists to an appendix. Source Authority, approval signatures, and revision history stay at the foot of the document.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Executive Summary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«Three or four sentences a director can act on: what was assessed, the headline result, the most important finding. Write this last.»</w:t>
      </w:r>
    </w:p>
    <w:p>
      <w:pPr>
        <w:spacing w:after="120" w:before="0"/>
      </w:pPr>
      <w:r>
        <w:rPr>
          <w:rFonts w:ascii="Aptos" w:cs="Aptos" w:eastAsia="Aptos" w:hAnsi="Aptos"/>
          <w:b w:val="0"/>
          <w:bCs w:val="false"/>
          <w:i w:val="0"/>
          <w:iCs w:val="false"/>
          <w:sz w:val="24"/>
          <w:szCs w:val="24"/>
        </w:rPr>
        <w:t>This record identifies single points of failure in the Agency’s infrastructure, such as a lone cable route, a single power feed, or one core switch, and records the redundancy decision and priority for each. [Summarize the headline result: how many single points of failure were found, which carry the highest impact, and what redundancy is planned.]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Findings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«One row per finding. Use a consistent severity scale. Keep the recommendation specific.»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800"/>
        <w:gridCol w:w="1400"/>
        <w:gridCol w:w="316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SPOF ID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Single point of failure (system / path)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Impact / priority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Redundancy treatment &amp; decision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S-01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[single point of failure]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[High / Med / Low]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[redundancy treatment and decision]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S-02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[single point of failure]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[High / Med / Low]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[redundancy treatment and decision]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  <w:tc>
          <w:tcPr>
            <w:tcW w:type="dxa" w:w="3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[Add single points of failure as needed.]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  <w:tc>
          <w:tcPr>
            <w:tcW w:type="dxa" w:w="3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[ 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3. Remediation Tracking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«Each finding’s owner, action, due date, and status. Mirror open items into the Risk / Finding Register (POA&amp;M); do not maintain two trackers.»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3000"/>
        <w:gridCol w:w="1460"/>
        <w:gridCol w:w="1600"/>
      </w:tblGrid>
      <w:tr>
        <w:trPr>
          <w:cantSplit/>
          <w:tblHeader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/>
                <w:i w:val="0"/>
                <w:color w:val="FFFFFF"/>
                <w:sz w:val="24"/>
                <w:szCs w:val="24"/>
              </w:rPr>
              <w:t>SPOF 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Owner (role)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Action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Due date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S-02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[action]</w:t>
            </w:r>
          </w:p>
        </w:tc>
        <w:tc>
          <w:tcPr>
            <w:tcW w:type="dxa" w:w="14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[Open / In progress / Closed]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p>
      <w:pPr>
        <w:spacing w:after="140"/>
      </w:pPr>
      <w:r>
        <w:rPr>
          <w:rFonts w:ascii="Aptos" w:cs="Aptos" w:eastAsia="Aptos" w:hAnsi="Aptos"/>
          <w:i/>
          <w:iCs/>
          <w:color w:val="595959"/>
          <w:sz w:val="24"/>
          <w:szCs w:val="24"/>
        </w:rPr>
        <w:t xml:space="preserve">One short paragraph per profile: what minimum-viable looks like for that reader and where to scale up. Keep all three if this ships as a template; delete the profiles that do not apply once adopted.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cantSplit/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Small (1–5 dispatchers, no in-house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The director walks the critical path once a year, notes anywhere a single failure would stop dispatch, and records the fix or the accepted risk.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Shared county IT reviews cabling, power, and core network for single points of failure at each redundancy review and tracks treatments to closure.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Large (25+, dedicated IT/security)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Redundancy is mapped from network and facility diagrams, single points of failure are rated by impact, and treatments are prioritized and tracked.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140"/>
            </w:pPr>
            <w:r>
              <w:rPr>
                <w:rFonts w:ascii="Aptos" w:cs="Aptos" w:eastAsia="Aptos" w:hAnsi="Aptos"/>
                <w:i/>
                <w:iCs/>
                <w:color w:val="595959"/>
                <w:sz w:val="24"/>
                <w:szCs w:val="24"/>
              </w:rPr>
              <w:t xml:space="preserve">List only the authorities that map to content in this artifact. Group by authority; order sections and control IDs numerically. No padding. Replace the lines below with the citations that actually apply.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NENA-STA-040.2-2024: §5.3 (Availability); §6.14 (Network Availability); §6.15 (Diversity)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 w:val="0"/>
                <w:bCs w:val="false"/>
                <w:i w:val="0"/>
                <w:iCs w:val="false"/>
                <w:sz w:val="24"/>
                <w:szCs w:val="24"/>
              </w:rPr>
              <w:t>NIST SP 800-53 Rev. 5: CP-2, CP-7, PE-9, SC-5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cantSplit/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[Assessor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[Reviewed by (role)]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/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cantSplit/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[#]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[Date]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[Role]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[Initial issue]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1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 w:val="0"/>
                <w:bCs/>
                <w:i/>
                <w:iCs w:val="false"/>
                <w:color w:val="595959"/>
                <w:sz w:val="24"/>
                <w:szCs w:val="24"/>
              </w:rPr>
              <w:t>Drafter’s note (internal, delete before publishing): confirm the systems and paths in scope against the System Redundancy Design Documentation before finalizing.</w:t>
            </w:r>
          </w:p>
        </w:tc>
      </w:tr>
    </w:tbl>
    <w:p/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right"/>
    </w:pPr>
    <w:r>
      <w:rPr>
        <w:rFonts w:ascii="Aptos" w:cs="Aptos" w:eastAsia="Aptos" w:hAnsi="Aptos"/>
        <w:color w:val="595959"/>
        <w:sz w:val="16"/>
        <w:szCs w:val="16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pPr>
      <w:keepNext/>
      <w:keepLines/>
      <w:spacing w:after="100" w:before="220"/>
      <w:outlineLvl w:val="2"/>
    </w:pPr>
    <w:rPr>
      <w:rFonts w:ascii="Aptos" w:cs="Aptos" w:eastAsia="Aptos" w:hAnsi="Aptos"/>
      <w:b/>
      <w:bCs/>
      <w:color w:val="1B3A5C"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keepLines/>
      <w:spacing w:after="100" w:before="220"/>
      <w:outlineLvl w:val="3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after="100" w:before="220"/>
      <w:outlineLvl w:val="4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Heading6">
    <w:name w:val="Heading 6"/>
    <w:basedOn w:val="Normal"/>
    <w:next w:val="Normal"/>
    <w:qFormat/>
    <w:pPr>
      <w:keepNext/>
      <w:keepLines/>
      <w:spacing w:after="100" w:before="220"/>
      <w:outlineLvl w:val="5"/>
    </w:pPr>
    <w:rPr>
      <w:rFonts w:ascii="Aptos" w:cs="Aptos" w:eastAsia="Aptos" w:hAnsi="Aptos"/>
      <w:b/>
      <w:bCs/>
      <w:color w:val="1B3A5C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911 Authority in partnership with IN911</dc:creator>
  <cp:lastModifiedBy/>
  <cp:revision>1</cp:revision>
  <dcterms:created xsi:type="dcterms:W3CDTF">2026-06-01T15:29:11.506Z</dcterms:created>
  <dcterms:modified xsi:type="dcterms:W3CDTF">2026-06-01T15:29:11.506Z</dcterms:modified>
  <dc:title xmlns:dc="http://purl.org/dc/elements/1.1/">Single-Point-of-Failure Assessment Record - FORM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