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Background Check &amp; Screening Policy</w:t>
      </w:r>
    </w:p>
    <w:p>
      <w:pPr>
        <w:spacing w:after="140"/>
      </w:pPr>
      <w:r>
        <w:rPr>
          <w:rFonts w:ascii="Aptos" w:cs="Aptos" w:eastAsia="Aptos" w:hAnsi="Aptos"/>
          <w:i/>
          <w:iCs/>
          <w:color w:val="595959"/>
          <w:sz w:val="24"/>
          <w:szCs w:val="24"/>
        </w:rPr>
        <w:t xml:space="preserve">«Replace with the artifact name exactly as it appears in the Tracker (e.g., Cybersecurity &amp; Privacy Policy).»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sz w:val="24"/>
                <w:szCs w:val="24"/>
              </w:rPr>
              <w:t xml:space="preserve">Authority: </w:t>
            </w:r>
            <w:r>
              <w:rPr>
                <w:rFonts w:ascii="Aptos" w:cs="Aptos" w:eastAsia="Aptos" w:hAnsi="Aptos"/>
                <w:b w:val="false"/>
                <w:bCs w:val="false"/>
                <w:i w:val="false"/>
                <w:iCs w:val="false"/>
                <w:sz w:val="24"/>
                <w:szCs w:val="24"/>
              </w:rPr>
              <w:t xml:space="preserve">Adopted by </w:t>
            </w:r>
            <w:r>
              <w:rPr>
                <w:rFonts w:ascii="Aptos" w:cs="Aptos" w:eastAsia="Aptos" w:hAnsi="Aptos"/>
                <w:b/>
                <w:bCs/>
                <w:i w:val="false"/>
                <w:iCs w:val="false"/>
                <w:sz w:val="24"/>
                <w:szCs w:val="24"/>
              </w:rPr>
              <w:t xml:space="preserve">[Agency Name]</w:t>
            </w:r>
            <w:r>
              <w:rPr>
                <w:rFonts w:ascii="Aptos" w:cs="Aptos" w:eastAsia="Aptos" w:hAnsi="Aptos"/>
                <w:b w:val="false"/>
                <w:bCs w:val="false"/>
                <w:i w:val="false"/>
                <w:iCs w:val="false"/>
                <w:sz w:val="24"/>
                <w:szCs w:val="24"/>
              </w:rPr>
              <w:t xml:space="preserve"> under the authority of </w:t>
            </w:r>
            <w:r>
              <w:rPr>
                <w:rFonts w:ascii="Aptos" w:cs="Aptos" w:eastAsia="Aptos" w:hAnsi="Aptos"/>
                <w:b/>
                <w:bCs/>
                <w:i w:val="false"/>
                <w:iCs w:val="false"/>
                <w:sz w:val="24"/>
                <w:szCs w:val="24"/>
              </w:rPr>
              <w:t xml:space="preserve">[signing official / title]</w:t>
            </w:r>
            <w:r>
              <w:rPr>
                <w:rFonts w:ascii="Aptos" w:cs="Aptos" w:eastAsia="Aptos" w:hAnsi="Aptos"/>
                <w:b w:val="false"/>
                <w:bCs w:val="false"/>
                <w:i w:val="false"/>
                <w:iCs w:val="false"/>
                <w:sz w:val="24"/>
                <w:szCs w:val="24"/>
              </w:rPr>
              <w:t xml:space="preserve">.</w:t>
            </w:r>
          </w:p>
          <w:p>
            <w:pPr>
              <w:spacing w:after="60"/>
            </w:pPr>
            <w:r>
              <w:rPr>
                <w:rFonts w:ascii="Aptos" w:cs="Aptos" w:eastAsia="Aptos" w:hAnsi="Aptos"/>
                <w:b/>
                <w:bCs/>
                <w:i w:val="false"/>
                <w:iCs w:val="false"/>
                <w:sz w:val="24"/>
                <w:szCs w:val="24"/>
              </w:rPr>
              <w:t xml:space="preserve">Version: </w:t>
            </w:r>
            <w:r>
              <w:rPr>
                <w:rFonts w:ascii="Aptos" w:cs="Aptos" w:eastAsia="Aptos" w:hAnsi="Aptos"/>
                <w:b w:val="false"/>
                <w:bCs w:val="false"/>
                <w:i w:val="false"/>
                <w:iCs w:val="false"/>
                <w:sz w:val="24"/>
                <w:szCs w:val="24"/>
              </w:rPr>
              <w:t xml:space="preserve">[#]    </w:t>
            </w:r>
            <w:r>
              <w:rPr>
                <w:rFonts w:ascii="Aptos" w:cs="Aptos" w:eastAsia="Aptos" w:hAnsi="Aptos"/>
                <w:b/>
                <w:bCs/>
                <w:i w:val="false"/>
                <w:iCs w:val="false"/>
                <w:sz w:val="24"/>
                <w:szCs w:val="24"/>
              </w:rPr>
              <w:t xml:space="preserve">Effective Date: </w:t>
            </w:r>
            <w:r>
              <w:rPr>
                <w:rFonts w:ascii="Aptos" w:cs="Aptos" w:eastAsia="Aptos" w:hAnsi="Aptos"/>
                <w:b w:val="false"/>
                <w:bCs w:val="false"/>
                <w:i w:val="false"/>
                <w:iCs w:val="false"/>
                <w:sz w:val="24"/>
                <w:szCs w:val="24"/>
              </w:rPr>
              <w:t xml:space="preserve">[Date]    </w:t>
            </w:r>
            <w:r>
              <w:rPr>
                <w:rFonts w:ascii="Aptos" w:cs="Aptos" w:eastAsia="Aptos" w:hAnsi="Aptos"/>
                <w:b/>
                <w:bCs/>
                <w:i w:val="false"/>
                <w:iCs w:val="false"/>
                <w:sz w:val="24"/>
                <w:szCs w:val="24"/>
              </w:rPr>
              <w:t xml:space="preserve">Next Review: </w:t>
            </w:r>
            <w:r>
              <w:rPr>
                <w:rFonts w:ascii="Aptos" w:cs="Aptos" w:eastAsia="Aptos" w:hAnsi="Aptos"/>
                <w:b w:val="false"/>
                <w:bCs w:val="false"/>
                <w:i w:val="false"/>
                <w:iCs w:val="false"/>
                <w:sz w:val="24"/>
                <w:szCs w:val="24"/>
              </w:rPr>
              <w:t xml:space="preserve">[Date]</w:t>
            </w:r>
          </w:p>
          <w:p>
            <w:pPr>
              <w:spacing w:after="60"/>
            </w:pPr>
            <w:r>
              <w:rPr>
                <w:rFonts w:ascii="Aptos" w:cs="Aptos" w:eastAsia="Aptos" w:hAnsi="Aptos"/>
                <w:b/>
                <w:bCs/>
                <w:i w:val="false"/>
                <w:iCs w:val="false"/>
                <w:sz w:val="24"/>
                <w:szCs w:val="24"/>
              </w:rPr>
              <w:t xml:space="preserve">Owner: </w:t>
            </w:r>
            <w:r>
              <w:rPr>
                <w:rFonts w:ascii="Aptos" w:cs="Aptos" w:eastAsia="Aptos" w:hAnsi="Aptos"/>
                <w:b w:val="false"/>
                <w:bCs w:val="false"/>
                <w:i w:val="false"/>
                <w:iCs w:val="false"/>
                <w:sz w:val="24"/>
                <w:szCs w:val="24"/>
              </w:rPr>
              <w:t xml:space="preserve">[Role title]   </w:t>
            </w:r>
            <w:r>
              <w:rPr>
                <w:rFonts w:ascii="Aptos" w:cs="Aptos" w:eastAsia="Aptos" w:hAnsi="Aptos"/>
                <w:b w:val="false"/>
                <w:bCs w:val="false"/>
                <w:i/>
                <w:iCs/>
                <w:color w:val="595959"/>
                <w:sz w:val="24"/>
                <w:szCs w:val="24"/>
              </w:rPr>
              <w:t xml:space="preserve">«use a role, not a person’s name.»</w:t>
            </w:r>
          </w:p>
          <w:p>
            <w:pPr>
              <w:spacing w:after="20"/>
            </w:pPr>
            <w:r>
              <w:rPr>
                <w:rFonts w:ascii="Aptos" w:hAnsi="Aptos"/>
                <w:b/>
                <w:sz w:val="24"/>
              </w:rPr>
              <w:t xml:space="preserve">Classification: </w:t>
            </w:r>
            <w:r>
              <w:rPr>
                <w:rFonts w:ascii="Aptos" w:hAnsi="Aptos"/>
                <w:b w:val="0"/>
                <w:sz w:val="24"/>
              </w:rPr>
              <w:t>Internal / CJIS</w:t>
            </w:r>
          </w:p>
          <w:p>
            <w:pPr>
              <w:spacing w:after="0"/>
            </w:pPr>
            <w:r>
              <w:rPr>
                <w:rFonts w:ascii="Aptos" w:cs="Aptos" w:eastAsia="Aptos" w:hAnsi="Aptos"/>
                <w:i/>
                <w:iCs/>
                <w:color w:val="595959"/>
                <w:sz w:val="24"/>
                <w:szCs w:val="24"/>
              </w:rPr>
              <w:t xml:space="preserve">«Minimum for Policy artifacts. Your agency may raise this but not lower it. Append “ / CJIS” if CJIS-regulated data is in scope. Raise to Restricted if this policy embeds specific operational configuration or response logic.»</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FBFBF" w:sz="4"/>
              <w:left w:val="single" w:color="BFBFBF" w:sz="4"/>
              <w:bottom w:val="single" w:color="BFBFBF" w:sz="4"/>
              <w:right w:val="single" w:color="BFBFBF" w:sz="4"/>
            </w:tcBorders>
            <w:shd w:fill="F4F1E8" w:val="clear" w:color="auto"/>
            <w:tcMar>
              <w:top w:type="dxa" w:w="80"/>
              <w:left w:type="dxa" w:w="120"/>
              <w:bottom w:type="dxa" w:w="80"/>
              <w:right w:type="dxa" w:w="120"/>
            </w:tcMar>
          </w:tcPr>
          <w:p>
            <w:pPr>
              <w:spacing w:after="60"/>
            </w:pPr>
            <w:r>
              <w:rPr>
                <w:rFonts w:ascii="Aptos" w:hAnsi="Aptos"/>
                <w:b/>
                <w:color w:val="1B3A5C"/>
                <w:sz w:val="24"/>
              </w:rPr>
              <w:t xml:space="preserve">How to use this template </w:t>
            </w:r>
            <w:r>
              <w:rPr>
                <w:rFonts w:ascii="Aptos" w:hAnsi="Aptos"/>
                <w:b w:val="0"/>
                <w:color w:val="595959"/>
                <w:sz w:val="24"/>
              </w:rPr>
              <w:t>(delete this box before publishing)</w:t>
            </w:r>
          </w:p>
          <w:p>
            <w:pPr>
              <w:spacing w:after="140"/>
            </w:pPr>
            <w:r>
              <w:rPr>
                <w:rFonts w:ascii="Aptos" w:hAnsi="Aptos"/>
                <w:b w:val="0"/>
                <w:color w:val="595959"/>
                <w:sz w:val="24"/>
              </w:rPr>
              <w:t>This template is ready to adopt. Replace every [BRACKETED] field with your agency’s information, follow the « » guidance notes, and delete every « » note and this box before you publish.</w:t>
            </w:r>
          </w:p>
          <w:p>
            <w:pPr>
              <w:spacing w:after="0"/>
            </w:pPr>
            <w:r>
              <w:rPr>
                <w:rFonts w:ascii="Aptos" w:hAnsi="Aptos"/>
                <w:b/>
                <w:sz w:val="24"/>
              </w:rPr>
              <w:t xml:space="preserve">Placeholder key: </w:t>
            </w:r>
            <w:r>
              <w:rPr>
                <w:rFonts w:ascii="Aptos" w:hAnsi="Aptos"/>
                <w:b w:val="0"/>
                <w:sz w:val="24"/>
              </w:rPr>
              <w:t>[BRACKETED]</w:t>
            </w:r>
            <w:r>
              <w:rPr>
                <w:rFonts w:ascii="Aptos" w:hAnsi="Aptos"/>
                <w:b w:val="0"/>
                <w:sz w:val="24"/>
              </w:rPr>
              <w:t xml:space="preserve"> = fill in   ·   </w:t>
            </w:r>
            <w:r>
              <w:rPr>
                <w:rFonts w:ascii="Aptos" w:hAnsi="Aptos"/>
                <w:b/>
                <w:sz w:val="24"/>
              </w:rPr>
              <w:t>[REQUIRED]</w:t>
            </w:r>
            <w:r>
              <w:rPr>
                <w:rFonts w:ascii="Aptos" w:hAnsi="Aptos"/>
                <w:b w:val="0"/>
                <w:sz w:val="24"/>
              </w:rPr>
              <w:t xml:space="preserve"> (bold) = required field   ·   </w:t>
            </w:r>
            <w:r>
              <w:rPr>
                <w:rFonts w:ascii="Aptos" w:hAnsi="Aptos"/>
                <w:b w:val="0"/>
                <w:color w:val="595959"/>
                <w:sz w:val="24"/>
              </w:rPr>
              <w:t>« »</w:t>
            </w:r>
            <w:r>
              <w:rPr>
                <w:rFonts w:ascii="Aptos" w:hAnsi="Aptos"/>
                <w:b w:val="0"/>
                <w:sz w:val="24"/>
              </w:rPr>
              <w:t xml:space="preserve"> = guidance to delete.</w:t>
            </w:r>
          </w:p>
          <w:p>
            <w:pPr>
              <w:spacing w:after="140"/>
            </w:pPr>
            <w:r>
              <w:rPr>
                <w:rFonts w:ascii="Aptos" w:hAnsi="Aptos"/>
                <w:b w:val="0"/>
                <w:color w:val="595959"/>
                <w:sz w:val="24"/>
              </w:rPr>
              <w:t>Keep the body director-readable. Push technical detail and contact lists to an appendix. Source Authority, approval signatures, and revision history stay at the foot of the document.</w:t>
            </w:r>
          </w:p>
        </w:tc>
      </w:tr>
    </w:tbl>
    <w:p>
      <w:pPr>
        <w:spacing w:after="60"/>
      </w:pPr>
    </w:p>
    <w:p>
      <w:pPr>
        <w:pStyle w:val="Heading2"/>
        <w:spacing w:after="100" w:before="220"/>
      </w:pPr>
      <w:r>
        <w:rPr>
          <w:rFonts w:ascii="Aptos" w:cs="Aptos" w:eastAsia="Aptos" w:hAnsi="Aptos"/>
          <w:b/>
          <w:bCs/>
          <w:color w:val="1B3A5C"/>
          <w:sz w:val="26"/>
          <w:szCs w:val="26"/>
        </w:rPr>
        <w:t xml:space="preserve">1. Purpose</w:t>
      </w:r>
    </w:p>
    <w:p>
      <w:pPr>
        <w:spacing w:after="140"/>
      </w:pPr>
      <w:r>
        <w:rPr>
          <w:rFonts w:ascii="Aptos" w:cs="Aptos" w:eastAsia="Aptos" w:hAnsi="Aptos"/>
          <w:i/>
          <w:iCs/>
          <w:color w:val="595959"/>
          <w:sz w:val="24"/>
          <w:szCs w:val="24"/>
        </w:rPr>
        <w:t xml:space="preserve">«Two or three sentences: what this policy governs and why the Agency maintains it. Name the outcome, not the activity.»</w:t>
      </w:r>
    </w:p>
    <w:p>
      <w:pPr>
        <w:spacing w:after="120" w:before="0"/>
      </w:pPr>
      <w:r>
        <w:rPr>
          <w:rFonts w:ascii="Aptos" w:cs="Aptos" w:eastAsia="Aptos" w:hAnsi="Aptos"/>
          <w:b w:val="false"/>
          <w:bCs w:val="false"/>
          <w:i w:val="false"/>
          <w:iCs w:val="false"/>
          <w:sz w:val="24"/>
          <w:szCs w:val="24"/>
        </w:rPr>
        <w:t>This policy establishes the screening required before any individual is granted access to [Agency Name] facilities, systems, or criminal justice information. It defines which positions require background checks, the scope of those checks, how adverse findings are adjudicated, and the vetting required for contractors and vendor personnel with unescorted access.</w:t>
      </w:r>
    </w:p>
    <w:p>
      <w:pPr>
        <w:pStyle w:val="Heading2"/>
        <w:spacing w:after="100" w:before="220"/>
      </w:pPr>
      <w:r>
        <w:rPr>
          <w:rFonts w:ascii="Aptos" w:cs="Aptos" w:eastAsia="Aptos" w:hAnsi="Aptos"/>
          <w:b/>
          <w:bCs/>
          <w:color w:val="1B3A5C"/>
          <w:sz w:val="26"/>
          <w:szCs w:val="26"/>
        </w:rPr>
        <w:t xml:space="preserve">2. Scope</w:t>
      </w:r>
    </w:p>
    <w:p>
      <w:pPr>
        <w:spacing w:after="140"/>
      </w:pPr>
      <w:r>
        <w:rPr>
          <w:rFonts w:ascii="Aptos" w:cs="Aptos" w:eastAsia="Aptos" w:hAnsi="Aptos"/>
          <w:i/>
          <w:iCs/>
          <w:color w:val="595959"/>
          <w:sz w:val="24"/>
          <w:szCs w:val="24"/>
        </w:rPr>
        <w:t xml:space="preserve">«Who and what the policy covers, and what it excludes. State exclusions explicitly.»</w:t>
      </w:r>
    </w:p>
    <w:p>
      <w:pPr>
        <w:pStyle w:val="ListParagraph"/>
        <w:numPr>
          <w:ilvl w:val="0"/>
          <w:numId w:val="2"/>
        </w:numPr>
        <w:spacing w:after="60"/>
      </w:pPr>
      <w:r>
        <w:rPr>
          <w:rFonts w:ascii="Aptos" w:cs="Aptos" w:eastAsia="Aptos" w:hAnsi="Aptos"/>
          <w:b w:val="false"/>
          <w:bCs w:val="false"/>
          <w:i w:val="false"/>
          <w:iCs w:val="false"/>
          <w:sz w:val="24"/>
          <w:szCs w:val="24"/>
        </w:rPr>
        <w:t>Applies to: all candidates for employment, current personnel subject to periodic rescreening, and any contractor or vendor personnel requiring unescorted facility access or access to ECC / NG9-1-1 systems.</w:t>
      </w:r>
    </w:p>
    <w:p>
      <w:pPr>
        <w:pStyle w:val="ListParagraph"/>
        <w:numPr>
          <w:ilvl w:val="0"/>
          <w:numId w:val="2"/>
        </w:numPr>
        <w:spacing w:after="60"/>
      </w:pPr>
      <w:r>
        <w:rPr>
          <w:rFonts w:ascii="Aptos" w:cs="Aptos" w:eastAsia="Aptos" w:hAnsi="Aptos"/>
          <w:b w:val="false"/>
          <w:bCs w:val="false"/>
          <w:i w:val="false"/>
          <w:iCs w:val="false"/>
          <w:sz w:val="24"/>
          <w:szCs w:val="24"/>
        </w:rPr>
        <w:t>Covers: pre-employment screening, periodic rescreening, fingerprint-based criminal history checks where required, and CJIS personnel-security screening conducted through IDACS.</w:t>
      </w:r>
    </w:p>
    <w:p>
      <w:pPr>
        <w:pStyle w:val="ListParagraph"/>
        <w:numPr>
          <w:ilvl w:val="0"/>
          <w:numId w:val="2"/>
        </w:numPr>
        <w:spacing w:after="60"/>
      </w:pPr>
      <w:r>
        <w:rPr>
          <w:rFonts w:ascii="Aptos" w:cs="Aptos" w:eastAsia="Aptos" w:hAnsi="Aptos"/>
          <w:b w:val="false"/>
          <w:bCs w:val="false"/>
          <w:i w:val="false"/>
          <w:iCs w:val="false"/>
          <w:sz w:val="24"/>
          <w:szCs w:val="24"/>
        </w:rPr>
        <w:t>Excludes: escorted visitors who do not access systems or controlled areas, governed instead by the Physical Access Control Policy and the Visitor Access Agreement Form.</w:t>
      </w:r>
    </w:p>
    <w:p>
      <w:pPr>
        <w:pStyle w:val="Heading2"/>
        <w:spacing w:after="100" w:before="220"/>
      </w:pPr>
      <w:r>
        <w:rPr>
          <w:rFonts w:ascii="Aptos" w:cs="Aptos" w:eastAsia="Aptos" w:hAnsi="Aptos"/>
          <w:b/>
          <w:bCs/>
          <w:color w:val="1B3A5C"/>
          <w:sz w:val="26"/>
          <w:szCs w:val="26"/>
        </w:rPr>
        <w:t xml:space="preserve">3. Definitions</w:t>
      </w:r>
    </w:p>
    <w:p>
      <w:pPr>
        <w:spacing w:after="140"/>
      </w:pPr>
      <w:r>
        <w:rPr>
          <w:rFonts w:ascii="Aptos" w:cs="Aptos" w:eastAsia="Aptos" w:hAnsi="Aptos"/>
          <w:i/>
          <w:iCs/>
          <w:color w:val="595959"/>
          <w:sz w:val="24"/>
          <w:szCs w:val="24"/>
        </w:rPr>
        <w:t xml:space="preserve">«Optional. Include only terms this policy uses with a narrower meaning than common usage. Do not define common operational terms (CAD, RMS, ESInet, dispatcher). Delete this section if not needed.»</w:t>
      </w:r>
    </w:p>
    <w:p>
      <w:pPr>
        <w:spacing w:after="120" w:before="0"/>
      </w:pPr>
      <w:r>
        <w:rPr>
          <w:rFonts w:ascii="Aptos" w:cs="Aptos" w:eastAsia="Aptos" w:hAnsi="Aptos"/>
          <w:b w:val="false"/>
          <w:bCs w:val="false"/>
          <w:i w:val="false"/>
          <w:iCs w:val="false"/>
          <w:sz w:val="24"/>
          <w:szCs w:val="24"/>
        </w:rPr>
        <w:t>Unescorted access: physical or logical access granted without continuous supervision by an authorized employee.</w:t>
      </w:r>
    </w:p>
    <w:p>
      <w:pPr>
        <w:spacing w:after="120" w:before="0"/>
      </w:pPr>
      <w:r>
        <w:rPr>
          <w:rFonts w:ascii="Aptos" w:cs="Aptos" w:eastAsia="Aptos" w:hAnsi="Aptos"/>
          <w:b w:val="false"/>
          <w:bCs w:val="false"/>
          <w:i w:val="false"/>
          <w:iCs w:val="false"/>
          <w:sz w:val="24"/>
          <w:szCs w:val="24"/>
        </w:rPr>
        <w:t>Adverse finding: any result of a background check that may disqualify an individual or that requires adjudication before an access decision.</w:t>
      </w:r>
    </w:p>
    <w:p>
      <w:pPr>
        <w:spacing w:after="120" w:before="0"/>
      </w:pPr>
      <w:r>
        <w:rPr>
          <w:rFonts w:ascii="Aptos" w:cs="Aptos" w:eastAsia="Aptos" w:hAnsi="Aptos"/>
          <w:b w:val="false"/>
          <w:bCs w:val="false"/>
          <w:i w:val="false"/>
          <w:iCs w:val="false"/>
          <w:sz w:val="24"/>
          <w:szCs w:val="24"/>
        </w:rPr>
        <w:t>Adjudication: the documented review and decision on whether an adverse finding disqualifies an individual from a position or from access.</w:t>
      </w:r>
    </w:p>
    <w:p>
      <w:pPr>
        <w:pStyle w:val="Heading2"/>
        <w:spacing w:after="100" w:before="220"/>
      </w:pPr>
      <w:r>
        <w:rPr>
          <w:rFonts w:ascii="Aptos" w:cs="Aptos" w:eastAsia="Aptos" w:hAnsi="Aptos"/>
          <w:b/>
          <w:bCs/>
          <w:color w:val="1B3A5C"/>
          <w:sz w:val="26"/>
          <w:szCs w:val="26"/>
        </w:rPr>
        <w:t xml:space="preserve">4. Policy Statement</w:t>
      </w:r>
    </w:p>
    <w:p>
      <w:pPr>
        <w:spacing w:after="140"/>
      </w:pPr>
      <w:r>
        <w:rPr>
          <w:rFonts w:ascii="Aptos" w:cs="Aptos" w:eastAsia="Aptos" w:hAnsi="Aptos"/>
          <w:i/>
          <w:iCs/>
          <w:color w:val="595959"/>
          <w:sz w:val="24"/>
          <w:szCs w:val="24"/>
        </w:rPr>
        <w:t xml:space="preserve">«The enforceable core, as numbered statements. Use “The Agency shall…” / “Personnel are responsible for…”. One requirement per statement.»</w:t>
      </w:r>
    </w:p>
    <w:p>
      <w:pPr>
        <w:pStyle w:val="ListParagraph"/>
        <w:numPr>
          <w:ilvl w:val="0"/>
          <w:numId w:val="3"/>
        </w:numPr>
        <w:spacing w:after="60"/>
      </w:pPr>
      <w:r>
        <w:rPr>
          <w:rFonts w:ascii="Aptos" w:cs="Aptos" w:eastAsia="Aptos" w:hAnsi="Aptos"/>
          <w:b w:val="false"/>
          <w:bCs w:val="false"/>
          <w:i w:val="false"/>
          <w:iCs w:val="false"/>
          <w:sz w:val="24"/>
          <w:szCs w:val="24"/>
        </w:rPr>
        <w:t>The Agency shall complete a background check on every candidate before granting unsupervised access to facilities, systems, or criminal justice information.</w:t>
      </w:r>
    </w:p>
    <w:p>
      <w:pPr>
        <w:pStyle w:val="ListParagraph"/>
        <w:numPr>
          <w:ilvl w:val="0"/>
          <w:numId w:val="3"/>
        </w:numPr>
        <w:spacing w:after="60"/>
      </w:pPr>
      <w:r>
        <w:rPr>
          <w:rFonts w:ascii="Aptos" w:cs="Aptos" w:eastAsia="Aptos" w:hAnsi="Aptos"/>
          <w:b w:val="false"/>
          <w:bCs w:val="false"/>
          <w:i w:val="false"/>
          <w:iCs w:val="false"/>
          <w:sz w:val="24"/>
          <w:szCs w:val="24"/>
        </w:rPr>
        <w:t>The Agency shall define screening tiers by position risk, with the scope of each check matched to the sensitivity of the access granted: [list positions and the check required for each].</w:t>
      </w:r>
    </w:p>
    <w:p>
      <w:pPr>
        <w:pStyle w:val="ListParagraph"/>
        <w:numPr>
          <w:ilvl w:val="0"/>
          <w:numId w:val="3"/>
        </w:numPr>
        <w:spacing w:after="60"/>
      </w:pPr>
      <w:r>
        <w:rPr>
          <w:rFonts w:ascii="Aptos" w:cs="Aptos" w:eastAsia="Aptos" w:hAnsi="Aptos"/>
          <w:b w:val="false"/>
          <w:bCs w:val="false"/>
          <w:i w:val="false"/>
          <w:iCs w:val="false"/>
          <w:sz w:val="24"/>
          <w:szCs w:val="24"/>
        </w:rPr>
        <w:t>Personnel in positions with access to CJIS-regulated data shall complete fingerprint-based state and national criminal history checks through IDACS before access is granted, consistent with the CJIS Security Policy.</w:t>
      </w:r>
    </w:p>
    <w:p>
      <w:pPr>
        <w:pStyle w:val="ListParagraph"/>
        <w:numPr>
          <w:ilvl w:val="0"/>
          <w:numId w:val="3"/>
        </w:numPr>
        <w:spacing w:after="60"/>
      </w:pPr>
      <w:r>
        <w:rPr>
          <w:rFonts w:ascii="Aptos" w:cs="Aptos" w:eastAsia="Aptos" w:hAnsi="Aptos"/>
          <w:b w:val="false"/>
          <w:bCs w:val="false"/>
          <w:i w:val="false"/>
          <w:iCs w:val="false"/>
          <w:sz w:val="24"/>
          <w:szCs w:val="24"/>
        </w:rPr>
        <w:t>The Agency shall require contractors and vendor personnel with unescorted facility access, or access to ECC / NG9-1-1 systems, to complete equivalent screening before access is granted, and shall record that requirement in the governing vendor agreement.</w:t>
      </w:r>
    </w:p>
    <w:p>
      <w:pPr>
        <w:pStyle w:val="ListParagraph"/>
        <w:numPr>
          <w:ilvl w:val="0"/>
          <w:numId w:val="3"/>
        </w:numPr>
        <w:spacing w:after="60"/>
      </w:pPr>
      <w:r>
        <w:rPr>
          <w:rFonts w:ascii="Aptos" w:cs="Aptos" w:eastAsia="Aptos" w:hAnsi="Aptos"/>
          <w:b w:val="false"/>
          <w:bCs w:val="false"/>
          <w:i w:val="false"/>
          <w:iCs w:val="false"/>
          <w:sz w:val="24"/>
          <w:szCs w:val="24"/>
        </w:rPr>
        <w:t>The Agency shall rescreen personnel on the interval defined by the Agency and, for CJIS-regulated access, on the cadence IDACS requires, and on any event that warrants review.</w:t>
      </w:r>
    </w:p>
    <w:p>
      <w:pPr>
        <w:pStyle w:val="ListParagraph"/>
        <w:numPr>
          <w:ilvl w:val="0"/>
          <w:numId w:val="3"/>
        </w:numPr>
        <w:spacing w:after="60"/>
      </w:pPr>
      <w:r>
        <w:rPr>
          <w:rFonts w:ascii="Aptos" w:cs="Aptos" w:eastAsia="Aptos" w:hAnsi="Aptos"/>
          <w:b w:val="false"/>
          <w:bCs w:val="false"/>
          <w:i w:val="false"/>
          <w:iCs w:val="false"/>
          <w:sz w:val="24"/>
          <w:szCs w:val="24"/>
        </w:rPr>
        <w:t>The Agency shall hold screening results as confidential personnel records, stored separately from general personnel files, and release them only to those with a need to know.</w:t>
      </w:r>
    </w:p>
    <w:p>
      <w:pPr>
        <w:pStyle w:val="ListParagraph"/>
        <w:numPr>
          <w:ilvl w:val="0"/>
          <w:numId w:val="3"/>
        </w:numPr>
        <w:spacing w:after="60"/>
      </w:pPr>
      <w:r>
        <w:rPr>
          <w:rFonts w:ascii="Aptos" w:cs="Aptos" w:eastAsia="Aptos" w:hAnsi="Aptos"/>
          <w:b w:val="false"/>
          <w:bCs w:val="false"/>
          <w:i w:val="false"/>
          <w:iCs w:val="false"/>
          <w:sz w:val="24"/>
          <w:szCs w:val="24"/>
        </w:rPr>
        <w:t>Personnel are responsible for disclosing disqualifying events that arise after initial screening, as defined by [Agency Name].</w:t>
      </w:r>
    </w:p>
    <w:p>
      <w:pPr>
        <w:spacing w:after="60"/>
      </w:pPr>
      <w:r>
        <w:rPr>
          <w:rFonts w:ascii="Aptos" w:cs="Aptos" w:eastAsia="Aptos" w:hAnsi="Aptos"/>
          <w:b/>
          <w:bCs w:val="false"/>
          <w:i w:val="false"/>
          <w:iCs w:val="false"/>
          <w:sz w:val="24"/>
          <w:szCs w:val="24"/>
        </w:rPr>
        <w:t>Adjudication of adverse findings:</w:t>
      </w:r>
    </w:p>
    <w:p>
      <w:pPr>
        <w:pStyle w:val="ListParagraph"/>
        <w:numPr>
          <w:ilvl w:val="0"/>
          <w:numId w:val="3"/>
        </w:numPr>
        <w:spacing w:after="60"/>
      </w:pPr>
      <w:r>
        <w:rPr>
          <w:rFonts w:ascii="Aptos" w:cs="Aptos" w:eastAsia="Aptos" w:hAnsi="Aptos"/>
          <w:b w:val="false"/>
          <w:bCs w:val="false"/>
          <w:i w:val="false"/>
          <w:iCs w:val="false"/>
          <w:sz w:val="24"/>
          <w:szCs w:val="24"/>
        </w:rPr>
        <w:t>The [Director / Coordinator or designated adjudicating authority] reviews every adverse finding before an access decision is made.</w:t>
      </w:r>
    </w:p>
    <w:p>
      <w:pPr>
        <w:pStyle w:val="ListParagraph"/>
        <w:numPr>
          <w:ilvl w:val="0"/>
          <w:numId w:val="3"/>
        </w:numPr>
        <w:spacing w:after="60"/>
      </w:pPr>
      <w:r>
        <w:rPr>
          <w:rFonts w:ascii="Aptos" w:cs="Aptos" w:eastAsia="Aptos" w:hAnsi="Aptos"/>
          <w:b w:val="false"/>
          <w:bCs w:val="false"/>
          <w:i w:val="false"/>
          <w:iCs w:val="false"/>
          <w:sz w:val="24"/>
          <w:szCs w:val="24"/>
        </w:rPr>
        <w:t>Adjudication weighs the nature of the finding, its relevance to the position, the time elapsed, and any CJIS or IDACS disqualifier that applies automatically.</w:t>
      </w:r>
    </w:p>
    <w:p>
      <w:pPr>
        <w:pStyle w:val="ListParagraph"/>
        <w:numPr>
          <w:ilvl w:val="0"/>
          <w:numId w:val="3"/>
        </w:numPr>
        <w:spacing w:after="60"/>
      </w:pPr>
      <w:r>
        <w:rPr>
          <w:rFonts w:ascii="Aptos" w:cs="Aptos" w:eastAsia="Aptos" w:hAnsi="Aptos"/>
          <w:b w:val="false"/>
          <w:bCs w:val="false"/>
          <w:i w:val="false"/>
          <w:iCs w:val="false"/>
          <w:sz w:val="24"/>
          <w:szCs w:val="24"/>
        </w:rPr>
        <w:t>The decision, its basis, and the date are recorded in the Screening Completion Records. A denied applicant is notified consistent with applicable law.</w:t>
      </w:r>
    </w:p>
    <w:p>
      <w:pPr>
        <w:pStyle w:val="Heading2"/>
        <w:spacing w:after="100" w:before="220"/>
      </w:pPr>
      <w:r>
        <w:rPr>
          <w:rFonts w:ascii="Aptos" w:cs="Aptos" w:eastAsia="Aptos" w:hAnsi="Aptos"/>
          <w:b/>
          <w:bCs/>
          <w:color w:val="1B3A5C"/>
          <w:sz w:val="26"/>
          <w:szCs w:val="26"/>
        </w:rPr>
        <w:t xml:space="preserve">5. Roles &amp; Responsibilities</w:t>
      </w:r>
    </w:p>
    <w:p>
      <w:pPr>
        <w:spacing w:after="140"/>
      </w:pPr>
      <w:r>
        <w:rPr>
          <w:rFonts w:ascii="Aptos" w:cs="Aptos" w:eastAsia="Aptos" w:hAnsi="Aptos"/>
          <w:i/>
          <w:iCs/>
          <w:color w:val="595959"/>
          <w:sz w:val="24"/>
          <w:szCs w:val="24"/>
        </w:rPr>
        <w:t xml:space="preserve">«Each role that carries a duty under this policy and what it owns. Roles, not names.»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cantSplit/>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Responsibility</w:t>
            </w: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 / Coordinator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Owns this policy; serves as or designates the adjudicating authority; approves the screening tiers.</w:t>
            </w: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CJIS Terminal Agency Coordinator (TAC)</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Orders and reviews IDACS fingerprint-based checks; confirms CJIS personnel-security requirements are met before access.</w:t>
            </w: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Onboarding lead / HR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Initiates checks, collects consent, files results as confidential records, and tracks rescreening due dates.</w:t>
            </w: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IT support (county / vendor / in-house)</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Grants system access only after screening clearance is confirmed.</w:t>
            </w: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Vendor / contract manager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Confirms contractor and vendor-personnel screening is complete and documented before unescorted access.</w:t>
            </w:r>
          </w:p>
        </w:tc>
      </w:tr>
    </w:tbl>
    <w:p>
      <w:pPr>
        <w:pStyle w:val="Heading2"/>
        <w:spacing w:after="100" w:before="220"/>
      </w:pPr>
      <w:r>
        <w:rPr>
          <w:rFonts w:ascii="Aptos" w:cs="Aptos" w:eastAsia="Aptos" w:hAnsi="Aptos"/>
          <w:b/>
          <w:bCs/>
          <w:color w:val="1B3A5C"/>
          <w:sz w:val="26"/>
          <w:szCs w:val="26"/>
        </w:rPr>
        <w:t xml:space="preserve">6. Enforcement</w:t>
      </w:r>
    </w:p>
    <w:p>
      <w:pPr>
        <w:spacing w:after="140"/>
      </w:pPr>
      <w:r>
        <w:rPr>
          <w:rFonts w:ascii="Aptos" w:cs="Aptos" w:eastAsia="Aptos" w:hAnsi="Aptos"/>
          <w:i/>
          <w:iCs/>
          <w:color w:val="595959"/>
          <w:sz w:val="24"/>
          <w:szCs w:val="24"/>
        </w:rPr>
        <w:t xml:space="preserve">«How compliance is monitored and what happens on violation. Reference the Agency’s corrective process; do not restate it.»</w:t>
      </w:r>
    </w:p>
    <w:p>
      <w:pPr>
        <w:spacing w:after="120" w:before="0"/>
      </w:pPr>
      <w:r>
        <w:rPr>
          <w:rFonts w:ascii="Aptos" w:cs="Aptos" w:eastAsia="Aptos" w:hAnsi="Aptos"/>
          <w:b w:val="false"/>
          <w:bCs w:val="false"/>
          <w:i w:val="false"/>
          <w:iCs w:val="false"/>
          <w:sz w:val="24"/>
          <w:szCs w:val="24"/>
        </w:rPr>
        <w:t>Access granted without the required screening is a reportable control failure. [Agency Name] suspends the access pending completion and records the exception. Repeated or willful bypass is handled under the Agency’s corrective process.</w:t>
      </w:r>
    </w:p>
    <w:p>
      <w:pPr>
        <w:pStyle w:val="Heading2"/>
        <w:spacing w:after="100" w:before="220"/>
      </w:pPr>
      <w:r>
        <w:rPr>
          <w:rFonts w:ascii="Aptos" w:cs="Aptos" w:eastAsia="Aptos" w:hAnsi="Aptos"/>
          <w:b/>
          <w:bCs/>
          <w:color w:val="1B3A5C"/>
          <w:sz w:val="26"/>
          <w:szCs w:val="26"/>
        </w:rPr>
        <w:t xml:space="preserve">7. Exceptions</w:t>
      </w:r>
    </w:p>
    <w:p>
      <w:pPr>
        <w:spacing w:after="140"/>
      </w:pPr>
      <w:r>
        <w:rPr>
          <w:rFonts w:ascii="Aptos" w:cs="Aptos" w:eastAsia="Aptos" w:hAnsi="Aptos"/>
          <w:i/>
          <w:iCs/>
          <w:color w:val="595959"/>
          <w:sz w:val="24"/>
          <w:szCs w:val="24"/>
        </w:rPr>
        <w:t xml:space="preserve">«Who may grant an exception, how it is requested and recorded, and how long it lasts before review.»</w:t>
      </w:r>
    </w:p>
    <w:p>
      <w:pPr>
        <w:spacing w:after="120" w:before="0"/>
      </w:pPr>
      <w:r>
        <w:rPr>
          <w:rFonts w:ascii="Aptos" w:cs="Aptos" w:eastAsia="Aptos" w:hAnsi="Aptos"/>
          <w:b w:val="false"/>
          <w:bCs w:val="false"/>
          <w:i w:val="false"/>
          <w:iCs w:val="false"/>
          <w:sz w:val="24"/>
          <w:szCs w:val="24"/>
        </w:rPr>
        <w:t>Only the [Director / Coordinator] may grant a time-limited exception, in writing, with a documented compensating control such as continuous escort. Exceptions are logged and expire on [timeframe] or when screening completes, whichever comes first. No exception is available for CJIS access, which requires screening before access by federal policy.</w:t>
      </w:r>
    </w:p>
    <w:p>
      <w:pPr>
        <w:pStyle w:val="Heading2"/>
        <w:spacing w:after="100" w:before="220"/>
      </w:pPr>
      <w:r>
        <w:rPr>
          <w:rFonts w:ascii="Aptos" w:cs="Aptos" w:eastAsia="Aptos" w:hAnsi="Aptos"/>
          <w:b/>
          <w:bCs/>
          <w:color w:val="1B3A5C"/>
          <w:sz w:val="26"/>
          <w:szCs w:val="26"/>
        </w:rPr>
        <w:t xml:space="preserve">8. Review Schedule</w:t>
      </w:r>
    </w:p>
    <w:p>
      <w:pPr>
        <w:spacing w:after="140"/>
      </w:pPr>
      <w:r>
        <w:rPr>
          <w:rFonts w:ascii="Aptos" w:cs="Aptos" w:eastAsia="Aptos" w:hAnsi="Aptos"/>
          <w:i/>
          <w:iCs/>
          <w:color w:val="595959"/>
          <w:sz w:val="24"/>
          <w:szCs w:val="24"/>
        </w:rPr>
        <w:t xml:space="preserve">«Review cadence and trigger events (annual at minimum; also on significant change). Name the owning role.»</w:t>
      </w:r>
    </w:p>
    <w:p>
      <w:pPr>
        <w:spacing w:after="120" w:before="0"/>
      </w:pPr>
      <w:r>
        <w:rPr>
          <w:rFonts w:ascii="Aptos" w:cs="Aptos" w:eastAsia="Aptos" w:hAnsi="Aptos"/>
          <w:b w:val="false"/>
          <w:bCs w:val="false"/>
          <w:i w:val="false"/>
          <w:iCs w:val="false"/>
          <w:sz w:val="24"/>
          <w:szCs w:val="24"/>
        </w:rPr>
        <w:t>This policy is reviewed at least [annually] and after [any change to CJIS screening requirements or Indiana statute], by the [Owner role].</w:t>
      </w:r>
    </w:p>
    <w:p>
      <w:pPr>
        <w:pStyle w:val="Heading2"/>
        <w:spacing w:after="100" w:before="220"/>
      </w:pPr>
      <w:r>
        <w:rPr>
          <w:rFonts w:ascii="Aptos" w:cs="Aptos" w:eastAsia="Aptos" w:hAnsi="Aptos"/>
          <w:b/>
          <w:bCs/>
          <w:color w:val="1B3A5C"/>
          <w:sz w:val="26"/>
          <w:szCs w:val="26"/>
        </w:rPr>
        <w:t xml:space="preserve">Profile Scaling Notes</w:t>
      </w:r>
    </w:p>
    <w:p>
      <w:pPr>
        <w:spacing w:after="140"/>
      </w:pPr>
      <w:r>
        <w:rPr>
          <w:rFonts w:ascii="Aptos" w:cs="Aptos" w:eastAsia="Aptos" w:hAnsi="Aptos"/>
          <w:i/>
          <w:iCs/>
          <w:color w:val="595959"/>
          <w:sz w:val="24"/>
          <w:szCs w:val="24"/>
        </w:rPr>
        <w:t xml:space="preserve">One short paragraph per profile: what minimum-viable looks like for that reader and where to scale up. Keep all three if this ships as a template; delete the profiles that do not apply once adopted.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cantSplit/>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rPr>
          <w:cantSplit/>
        </w:trP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Small (1–5 dispatchers, no in-house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Adopt as written. The director usually serves as the adjudicating authority and works with county HR and the IDACS TAC for fingerprint checks. One consent form and one confidential file per person is enough.</w:t>
            </w:r>
          </w:p>
        </w:tc>
      </w:tr>
      <w:tr>
        <w:trPr>
          <w:cantSplit/>
        </w:trP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Medium (6–25, shared county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 coordinator or HR contact runs screening and tracks rescreening dates; the director adjudicates adverse findings. Contractor screening clauses go into vendor agreements managed by the shared-services or county contracts office.</w:t>
            </w:r>
          </w:p>
        </w:tc>
      </w:tr>
      <w:tr>
        <w:trPr>
          <w:cantSplit/>
        </w:trP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Large (25+, dedicated IT/security)</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 dedicated HR or security function manages tiered screening, periodic rescreening, and contractor vetting through a tracked workflow, with the TAC owning all IDACS / CJIS checks and a documented adjudication authority or panel.</w:t>
            </w:r>
          </w:p>
        </w:tc>
      </w:tr>
    </w:tbl>
    <w:p>
      <w:pPr>
        <w:pStyle w:val="Heading2"/>
        <w:spacing w:after="100" w:before="220"/>
      </w:pPr>
      <w:r>
        <w:rPr>
          <w:rFonts w:ascii="Aptos" w:cs="Aptos" w:eastAsia="Aptos" w:hAnsi="Aptos"/>
          <w:b/>
          <w:bCs/>
          <w:color w:val="1B3A5C"/>
          <w:sz w:val="26"/>
          <w:szCs w:val="26"/>
        </w:rPr>
        <w:t xml:space="preserve">CJIS Handling Addendum</w:t>
      </w:r>
    </w:p>
    <w:p>
      <w:pPr>
        <w:spacing w:after="140"/>
      </w:pPr>
      <w:r>
        <w:rPr>
          <w:rFonts w:ascii="Aptos" w:cs="Aptos" w:eastAsia="Aptos" w:hAnsi="Aptos"/>
          <w:i/>
          <w:iCs/>
          <w:color w:val="595959"/>
          <w:sz w:val="24"/>
          <w:szCs w:val="24"/>
        </w:rPr>
        <w:t xml:space="preserve">«Optional. Include only if this policy touches CJIS-regulated data (in Indiana, typically via IDACS). Do not restate the CJIS Security Policy; reference it. Delete if not applicable.»</w:t>
      </w:r>
    </w:p>
    <w:p>
      <w:pPr>
        <w:spacing w:after="120" w:before="0"/>
      </w:pPr>
      <w:r>
        <w:rPr>
          <w:rFonts w:ascii="Aptos" w:cs="Aptos" w:eastAsia="Aptos" w:hAnsi="Aptos"/>
          <w:b w:val="false"/>
          <w:bCs w:val="false"/>
          <w:i w:val="false"/>
          <w:iCs w:val="false"/>
          <w:sz w:val="24"/>
          <w:szCs w:val="24"/>
        </w:rPr>
        <w:t>CJIS Handling: This policy governs screening for personnel and contractors who access CJIS-regulated data, in Indiana typically reached through IDACS. Apply CJIS Security Policy v[5.9] §5.12 (Personnel Security) and 240 IAC 5 in addition to the requirements above. Fingerprint-based national criminal history checks are mandatory before CJIS access and on the rescreening cadence CJIS requires.</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pPr>
              <w:spacing w:after="140"/>
            </w:pPr>
            <w:r>
              <w:rPr>
                <w:rFonts w:ascii="Aptos" w:cs="Aptos" w:eastAsia="Aptos" w:hAnsi="Aptos"/>
                <w:i/>
                <w:iCs/>
                <w:color w:val="595959"/>
                <w:sz w:val="24"/>
                <w:szCs w:val="24"/>
              </w:rPr>
              <w:t xml:space="preserve">List only the authorities that map to content in this artifact. Group by authority; order sections and control IDs numerically. No padding. Replace the lines below with the citations that actually apply.</w:t>
            </w:r>
          </w:p>
          <w:p>
            <w:pPr>
              <w:spacing w:after="40" w:before="0"/>
            </w:pPr>
            <w:r>
              <w:rPr>
                <w:rFonts w:ascii="Aptos" w:cs="Aptos" w:eastAsia="Aptos" w:hAnsi="Aptos"/>
                <w:b w:val="false"/>
                <w:bCs w:val="false"/>
                <w:i w:val="false"/>
                <w:iCs w:val="false"/>
                <w:sz w:val="24"/>
                <w:szCs w:val="24"/>
              </w:rPr>
              <w:t>NENA-STA-040.2-2024: §6.1.2</w:t>
            </w:r>
          </w:p>
          <w:p>
            <w:pPr>
              <w:spacing w:after="40" w:before="0"/>
            </w:pPr>
            <w:r>
              <w:rPr>
                <w:rFonts w:ascii="Aptos" w:cs="Aptos" w:eastAsia="Aptos" w:hAnsi="Aptos"/>
                <w:b w:val="false"/>
                <w:bCs w:val="false"/>
                <w:i w:val="false"/>
                <w:iCs w:val="false"/>
                <w:sz w:val="24"/>
                <w:szCs w:val="24"/>
              </w:rPr>
              <w:t>NIST SP 800-53 Rev. 5: PS-2, PS-3, PS-6, PS-7</w:t>
            </w:r>
          </w:p>
          <w:p>
            <w:pPr>
              <w:spacing w:after="40" w:before="0"/>
            </w:pPr>
            <w:r>
              <w:rPr>
                <w:rFonts w:ascii="Aptos" w:cs="Aptos" w:eastAsia="Aptos" w:hAnsi="Aptos"/>
                <w:b w:val="false"/>
                <w:bCs w:val="false"/>
                <w:i w:val="false"/>
                <w:iCs w:val="false"/>
                <w:sz w:val="24"/>
                <w:szCs w:val="24"/>
              </w:rPr>
              <w:t>Indiana statutes and administrative code: 240 IAC 5: IDACS Security</w:t>
            </w:r>
          </w:p>
          <w:p>
            <w:pPr>
              <w:spacing w:after="0" w:before="0"/>
            </w:pPr>
            <w:r>
              <w:rPr>
                <w:rFonts w:ascii="Aptos" w:cs="Aptos" w:eastAsia="Aptos" w:hAnsi="Aptos"/>
                <w:b w:val="false"/>
                <w:bCs w:val="false"/>
                <w:i w:val="false"/>
                <w:iCs w:val="false"/>
                <w:sz w:val="24"/>
                <w:szCs w:val="24"/>
              </w:rPr>
              <w:t>CJIS Security Policy v5.9: §5.12 (Personnel Security; CJIS-regulated data in scope via IDACS)</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cantSplit/>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[Approving official / title]</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[Owner role]</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cantSplit/>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rPr>
          <w:cantSplit/>
        </w:trP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[Date]</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[Role]</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[Initial issue]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Drafter’s note </w:t>
            </w:r>
            <w:r>
              <w:rPr>
                <w:rFonts w:ascii="Aptos" w:cs="Aptos" w:eastAsia="Aptos" w:hAnsi="Aptos"/>
                <w:b w:val="false"/>
                <w:bCs w:val="false"/>
                <w:i/>
                <w:iCs/>
                <w:color w:val="595959"/>
                <w:sz w:val="24"/>
                <w:szCs w:val="24"/>
              </w:rPr>
              <w:t xml:space="preserve">(internal, delete before publishing)</w:t>
            </w:r>
          </w:p>
          <w:p>
            <w:pPr>
              <w:spacing w:after="140"/>
            </w:pPr>
            <w:r>
              <w:rPr>
                <w:rFonts w:ascii="Aptos" w:cs="Aptos" w:eastAsia="Aptos" w:hAnsi="Aptos"/>
                <w:i/>
                <w:iCs/>
                <w:color w:val="595959"/>
                <w:sz w:val="24"/>
                <w:szCs w:val="24"/>
              </w:rPr>
              <w:t>Screening tiers, the rescreening interval, and the exception timeframe are agency-defined and left bracketed. The named adjudicating authority and the IDACS TAC role should be confirmed against the agency’s CJIS arrangement.</w:t>
            </w:r>
          </w:p>
        </w:tc>
      </w:tr>
    </w:tbl>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right"/>
    </w:pPr>
    <w:r>
      <w:rPr>
        <w:rFonts w:ascii="Aptos" w:cs="Aptos" w:eastAsia="Aptos" w:hAnsi="Aptos"/>
        <w:color w:val="595959"/>
        <w:sz w:val="16"/>
        <w:szCs w:val="16"/>
      </w:rP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3">
    <w:name w:val="Heading 3"/>
    <w:basedOn w:val="Normal"/>
    <w:next w:val="Normal"/>
    <w:qFormat/>
    <w:pPr>
      <w:keepNext/>
      <w:keepLines/>
      <w:spacing w:after="100" w:before="220"/>
      <w:outlineLvl w:val="2"/>
    </w:pPr>
    <w:rPr>
      <w:rFonts w:ascii="Aptos" w:cs="Aptos" w:eastAsia="Aptos" w:hAnsi="Aptos"/>
      <w:b/>
      <w:bCs/>
      <w:color w:val="1B3A5C"/>
      <w:sz w:val="26"/>
      <w:szCs w:val="26"/>
    </w:rPr>
  </w:style>
  <w:style w:type="paragraph" w:styleId="Heading4">
    <w:name w:val="Heading 4"/>
    <w:basedOn w:val="Normal"/>
    <w:next w:val="Normal"/>
    <w:qFormat/>
    <w:pPr>
      <w:keepNext/>
      <w:keepLines/>
      <w:spacing w:after="100" w:before="220"/>
      <w:outlineLvl w:val="3"/>
    </w:pPr>
    <w:rPr>
      <w:rFonts w:ascii="Aptos" w:cs="Aptos" w:eastAsia="Aptos" w:hAnsi="Aptos"/>
      <w:b/>
      <w:bCs/>
      <w:color w:val="1B3A5C"/>
      <w:sz w:val="24"/>
      <w:szCs w:val="24"/>
    </w:rPr>
  </w:style>
  <w:style w:type="paragraph" w:styleId="Heading5">
    <w:name w:val="Heading 5"/>
    <w:basedOn w:val="Normal"/>
    <w:next w:val="Normal"/>
    <w:qFormat/>
    <w:pPr>
      <w:keepNext/>
      <w:keepLines/>
      <w:spacing w:after="100" w:before="220"/>
      <w:outlineLvl w:val="4"/>
    </w:pPr>
    <w:rPr>
      <w:rFonts w:ascii="Aptos" w:cs="Aptos" w:eastAsia="Aptos" w:hAnsi="Aptos"/>
      <w:b/>
      <w:bCs/>
      <w:color w:val="1B3A5C"/>
      <w:sz w:val="24"/>
      <w:szCs w:val="24"/>
    </w:rPr>
  </w:style>
  <w:style w:type="paragraph" w:styleId="Heading6">
    <w:name w:val="Heading 6"/>
    <w:basedOn w:val="Normal"/>
    <w:next w:val="Normal"/>
    <w:qFormat/>
    <w:pPr>
      <w:keepNext/>
      <w:keepLines/>
      <w:spacing w:after="100" w:before="220"/>
      <w:outlineLvl w:val="5"/>
    </w:pPr>
    <w:rPr>
      <w:rFonts w:ascii="Aptos" w:cs="Aptos" w:eastAsia="Aptos" w:hAnsi="Aptos"/>
      <w:b/>
      <w:bCs/>
      <w:color w:val="1B3A5C"/>
      <w:sz w:val="24"/>
      <w:szCs w:val="24"/>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keepNext/>
      <w:keepLines/>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911 Authority in partnership with IN911</dc:creator>
  <cp:lastModifiedBy/>
  <cp:revision>1</cp:revision>
  <dcterms:created xsi:type="dcterms:W3CDTF">2026-06-01T15:29:11.401Z</dcterms:created>
  <dcterms:modified xsi:type="dcterms:W3CDTF">2026-06-01T15:29:11.401Z</dcterms:modified>
  <dc:title xmlns:dc="http://purl.org/dc/elements/1.1/">Background Check &amp; Screening Policy - FORM</dc:title>
</cp:coreProperties>
</file>

<file path=docProps/custom.xml><?xml version="1.0" encoding="utf-8"?>
<Properties xmlns="http://schemas.openxmlformats.org/officeDocument/2006/custom-properties" xmlns:vt="http://schemas.openxmlformats.org/officeDocument/2006/docPropsVTypes"/>
</file>