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Data Sharing Agreement (MOU)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Party A: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[Agency name], [role / title]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Party B: [Receiving party / partner agency name], [authorized representative]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Agreement / Form artifacts. A signed copy that names individuals is handled as Confidential. Where shared data includes CJIS-regulated information via IDACS, Term 8 and the classification raise apply.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2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This agreement is the instrument the Agency executes when it shares sensitive data with a partner agency or third party. Complete one per data-sharing arrangement. It is the companion to the Data Sharing &amp; Disclosure Approval Procedure.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[BRACKETED] = fill in ·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(bold) = required field · </w:t>
            </w:r>
            <w:r>
              <w:rPr>
                <w:rFonts w:ascii="Aptos" w:cs="Aptos" w:eastAsia="Aptos" w:hAnsi="Aptos"/>
                <w:i/>
                <w:iCs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= guidance to delete.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terms specific and enforceable. Tie the arrangement to the release approved under the Data Sharing &amp; Disclosure Approval Procedure, and store the signed original per the Document Handling Standard.</w:t>
            </w:r>
          </w:p>
        </w:tc>
      </w:tr>
    </w:tbl>
    <w:p>
      <w:pPr>
        <w:pStyle w:val="Heading2"/>
      </w:pPr>
      <w:r>
        <w:t xml:space="preserve">1. Purpose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agreement establishes and why the parties enter it. One or two sentences.»</w:t>
      </w:r>
    </w:p>
    <w:p>
      <w:pPr>
        <w:spacing w:after="120"/>
      </w:pPr>
      <w:r>
        <w:rPr>
          <w:rFonts w:ascii="Aptos" w:cs="Aptos" w:eastAsia="Aptos" w:hAnsi="Aptos"/>
          <w:sz w:val="24"/>
          <w:szCs w:val="24"/>
        </w:rPr>
        <w:t xml:space="preserve">This agreement sets the terms under which the Agency shares [described data] with [receiving party], and the obligations that sharing carries. It is executed before any data moves and is retained as evidence that the receiving party accepted the obligations.</w:t>
      </w:r>
    </w:p>
    <w:p>
      <w:pPr>
        <w:pStyle w:val="Heading2"/>
      </w:pPr>
      <w:r>
        <w:t xml:space="preserve">2. Terms and Requirements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binding obligations, as numbered terms. State which party owns each. Be specific about timing and thresholds.»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Data scope and classification: the data shared is limited to [described data set], classified [classification] under the Data Classification Policy, and no other data is shared under this agreement.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Permitted use and purpose limitation: [Receiving party] uses the data only for [stated purpose] and for no other purpose, and does not re-share it without the Agency's written approval.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Handling and security obligations: [Receiving party] protects the data with controls at least equal to the Agency's for that classification, including access limited to authorized personnel, encryption in transit and at rest, and secure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Transmission: approved data is transmitted only by the method the parties agree on, matched to its classification (encrypted transport or a secure portal).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Retention and destruction: [Receiving party] retains the data only as long as the stated purpose requires, then returns or destroys it and confirms destruction in writing, per the Document Handling Standard.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Incident and breach notification: [Receiving party] notifies the Agency of any suspected exposure or loss of the shared data without undue delay and no later than [timeframe]. The Agency reports qualifying cyber incidents to the Indiana Office of Technology within two business days under HEA 1169 and makes any resident notifications required by IC 24-4.9.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Monitoring and audit: [Receiving party] consents to the Agency reviewing its compliance with this agreement and provides evidence of its handling controls on request.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CJIS handling: where the shared data includes CJIS-regulated information (in Indiana, reached through IDACS), [Receiving party] complies with the FBI CJIS Security Policy, including personnel screening and security awareness training, and this agreement is classified Internal / CJIS.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Term and termination: this agreement remains in effect for [term] and may be ended by either party on [notice]; on termination, the return-and-destruction obligation in Term 5 applies.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Authority: each signer warrants they are authorized to bind their party to this agreement.</w:t>
      </w:r>
    </w:p>
    <w:p>
      <w:pPr>
        <w:pStyle w:val="Heading2"/>
      </w:pPr>
      <w:r>
        <w:t xml:space="preserve">3. Signatures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party signs and dates. Roles, with named individuals only on the signed copy.»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60"/>
        <w:gridCol w:w="2160"/>
        <w:gridCol w:w="1740"/>
        <w:gridCol w:w="160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Party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[Party A (Agency)]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[Party B (Receiving party)]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</w:pPr>
      <w:r>
        <w:t xml:space="preserve">4. Retention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«Where the signed original is kept, by whom, and for how long. Align with the Document Handling Standard.»</w:t>
      </w:r>
    </w:p>
    <w:p>
      <w:pPr>
        <w:spacing w:after="120"/>
      </w:pPr>
      <w:r>
        <w:rPr>
          <w:rFonts w:ascii="Aptos" w:cs="Aptos" w:eastAsia="Aptos" w:hAnsi="Aptos"/>
          <w:sz w:val="24"/>
          <w:szCs w:val="24"/>
        </w:rPr>
        <w:t xml:space="preserve">The signed original is kept by the [Owner role] for the life of the arrangement plus [period], stored and handled per the Document Handling Standard. The arrangement is linked to the release approved under the Data Sharing &amp; Disclosure Approval Procedure.</w:t>
      </w:r>
    </w:p>
    <w:p>
      <w:pPr>
        <w:pStyle w:val="Heading2"/>
      </w:pPr>
      <w:r>
        <w:t xml:space="preserve">Profile Scaling Notes</w:t>
      </w:r>
    </w:p>
    <w:p>
      <w:pPr>
        <w:spacing w:after="12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while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signed agreement per data-sharing arrangement, kept in the director's files. For an occasional share with a known partner, the standard terms here are enough; the director confirms the purpose and classification and keeps a copy.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coordinator drafts the agreement from this template, the director signs, and the arrangement is tracked with the approved release. Standard security terms are attached.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Agreements are held centrally, tied to the approved release and the data map, and reviewed at renewal; legal reviews terms before signature where the data or partner warrants 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Source Authority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§4.2.2 (Information Classification)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AC-21, CA-3, SA-9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Indiana statutes and administrative code: HEA 1169 (2021): Cyber Incident Reporting to IOT; IC 24-4.9: Data Breach Notification; 240 IAC 5: IDACS Security (where IDACS is in scope)</w:t>
            </w:r>
          </w:p>
          <w:p>
            <w:pPr>
              <w:spacing w:after="4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CJIS Security Policy v5.9: §5.1 (Information Exchange Agreements) (where CJIS-regulated data is shared, via IDACS)</w:t>
            </w:r>
          </w:p>
        </w:tc>
      </w:tr>
    </w:tbl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360"/>
      </w:tblGrid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[Role]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Drafter’s note (internal, delete before publishing)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Data Sharing Agreement (MOU) Template for category 3.C. The signed instrument produced when a release is approved under the Data Sharing &amp; Disclosure Approval Procedure; complete one per arrangement. Classification floor is Internal; a signed copy naming individuals is handled as Confidential, and where shared data includes CJIS-regulated information via IDACS, Term 8 applies and the classification raises to Internal / CJIS. The Agreement / Form shell has no CJIS Handling Addendum, so the CJIS obligation is carried as Term 8. Cross-referenced by Tracker name: Data Sharing &amp; Disclosure Approval Procedure, Data Classification Policy, Document Handling Standard, Data Inventory / Data Map. Confirm the breach-notification timeframe, the retention period, and the precise NENA clause.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2026-06-01T15:29:11.513Z</dcterms:created>
  <dcterms:modified xsi:type="dcterms:W3CDTF">2026-06-01T15:29:11.513Z</dcterms:modified>
  <dc:title xmlns:dc="http://purl.org/dc/elements/1.1/">Data Sharing Agreement (MOU) Template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