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ptos" w:cs="Aptos" w:eastAsia="Aptos" w:hAnsi="Aptos"/>
          <w:b/>
          <w:bCs/>
          <w:color w:val="1F1F1D"/>
          <w:sz w:val="40"/>
          <w:szCs w:val="40"/>
        </w:rPr>
        <w:t xml:space="preserve">PSAP Profile Selector</w:t>
      </w:r>
    </w:p>
    <w:p>
      <w:pPr>
        <w:spacing w:after="200"/>
      </w:pPr>
      <w:r>
        <w:rPr>
          <w:rFonts w:ascii="Aptos" w:cs="Aptos" w:eastAsia="Aptos" w:hAnsi="Aptos"/>
          <w:i/>
          <w:iCs/>
          <w:color w:val="5F5E5A"/>
          <w:sz w:val="22"/>
          <w:szCs w:val="22"/>
        </w:rPr>
        <w:t xml:space="preserve">How to choose the right starting profile for your center, and where to scale up from it.</w:t>
      </w:r>
    </w:p>
    <w:p>
      <w:pPr>
        <w:spacing w:after="140"/>
      </w:pPr>
      <w:r>
        <w:rPr>
          <w:rFonts w:ascii="Aptos" w:cs="Aptos" w:eastAsia="Aptos" w:hAnsi="Aptos"/>
          <w:b w:val="false"/>
          <w:bCs w:val="false"/>
          <w:i w:val="false"/>
          <w:iCs w:val="false"/>
          <w:color w:val="1F1F1D"/>
          <w:sz w:val="24"/>
          <w:szCs w:val="24"/>
        </w:rPr>
        <w:t xml:space="preserve">Your profile is not your dispatcher count. It is what your center can build and keep running. A five-seat center with no IT behaves like a small program on every technical control. A five-seat center backed by a strong county IT shop can do more. Size is a clue, not the answer.</w:t>
      </w:r>
    </w:p>
    <w:p>
      <w:pPr>
        <w:spacing w:after="60"/>
      </w:pPr>
      <w:r>
        <w:rPr>
          <w:rFonts w:ascii="Aptos" w:cs="Aptos" w:eastAsia="Aptos" w:hAnsi="Aptos"/>
          <w:b w:val="false"/>
          <w:bCs w:val="false"/>
          <w:i w:val="false"/>
          <w:iCs w:val="false"/>
          <w:color w:val="1F1F1D"/>
          <w:sz w:val="24"/>
          <w:szCs w:val="24"/>
        </w:rPr>
        <w:t xml:space="preserve">So you pick one </w:t>
      </w:r>
      <w:r>
        <w:rPr>
          <w:rFonts w:ascii="Aptos" w:cs="Aptos" w:eastAsia="Aptos" w:hAnsi="Aptos"/>
          <w:b/>
          <w:bCs/>
          <w:i w:val="false"/>
          <w:iCs w:val="false"/>
          <w:color w:val="1F1F1D"/>
          <w:sz w:val="24"/>
          <w:szCs w:val="24"/>
        </w:rPr>
        <w:t xml:space="preserve">baseline</w:t>
      </w:r>
      <w:r>
        <w:rPr>
          <w:rFonts w:ascii="Aptos" w:cs="Aptos" w:eastAsia="Aptos" w:hAnsi="Aptos"/>
          <w:b w:val="false"/>
          <w:bCs w:val="false"/>
          <w:i w:val="false"/>
          <w:iCs w:val="false"/>
          <w:color w:val="1F1F1D"/>
          <w:sz w:val="24"/>
          <w:szCs w:val="24"/>
        </w:rPr>
        <w:t xml:space="preserve"> profile from the three capability questions below, then </w:t>
      </w:r>
      <w:r>
        <w:rPr>
          <w:rFonts w:ascii="Aptos" w:cs="Aptos" w:eastAsia="Aptos" w:hAnsi="Aptos"/>
          <w:b/>
          <w:bCs/>
          <w:i w:val="false"/>
          <w:iCs w:val="false"/>
          <w:color w:val="1F1F1D"/>
          <w:sz w:val="24"/>
          <w:szCs w:val="24"/>
        </w:rPr>
        <w:t xml:space="preserve">scale specific domains up</w:t>
      </w:r>
      <w:r>
        <w:rPr>
          <w:rFonts w:ascii="Aptos" w:cs="Aptos" w:eastAsia="Aptos" w:hAnsi="Aptos"/>
          <w:b w:val="false"/>
          <w:bCs w:val="false"/>
          <w:i w:val="false"/>
          <w:iCs w:val="false"/>
          <w:color w:val="1F1F1D"/>
          <w:sz w:val="24"/>
          <w:szCs w:val="24"/>
        </w:rPr>
        <w:t xml:space="preserve"> where you are stronger. Exceptions only ever move up. Nothing scales below the baseline, which is where under-protection hides.</w:t>
      </w:r>
    </w:p>
    <w:p>
      <w:pPr>
        <w:pBdr>
          <w:bottom w:val="single" w:color="185FA5" w:sz="6" w:space="2"/>
        </w:pBdr>
        <w:spacing w:after="100" w:before="240"/>
      </w:pPr>
      <w:r>
        <w:rPr>
          <w:rFonts w:ascii="Aptos" w:cs="Aptos" w:eastAsia="Aptos" w:hAnsi="Aptos"/>
          <w:b/>
          <w:bCs/>
          <w:color w:val="185FA5"/>
          <w:sz w:val="26"/>
          <w:szCs w:val="26"/>
        </w:rPr>
        <w:t xml:space="preserve">The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left"/>
            </w:pPr>
            <w:r>
              <w:rPr>
                <w:rFonts w:ascii="Aptos" w:cs="Aptos" w:eastAsia="Aptos" w:hAnsi="Aptos"/>
                <w:b/>
                <w:bCs/>
                <w:color w:val="FFFFFF"/>
                <w:sz w:val="20"/>
                <w:szCs w:val="20"/>
              </w:rPr>
              <w:t xml:space="preserve">Question</w:t>
            </w:r>
          </w:p>
        </w:tc>
        <w:tc>
          <w:tcPr>
            <w:tcW w:type="dxa" w:w="200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center"/>
            </w:pPr>
            <w:r>
              <w:rPr>
                <w:rFonts w:ascii="Aptos" w:cs="Aptos" w:eastAsia="Aptos" w:hAnsi="Aptos"/>
                <w:b/>
                <w:bCs/>
                <w:color w:val="FFFFFF"/>
                <w:sz w:val="20"/>
                <w:szCs w:val="20"/>
              </w:rPr>
              <w:t xml:space="preserve">Small</w:t>
            </w:r>
          </w:p>
        </w:tc>
        <w:tc>
          <w:tcPr>
            <w:tcW w:type="dxa" w:w="200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center"/>
            </w:pPr>
            <w:r>
              <w:rPr>
                <w:rFonts w:ascii="Aptos" w:cs="Aptos" w:eastAsia="Aptos" w:hAnsi="Aptos"/>
                <w:b/>
                <w:bCs/>
                <w:color w:val="FFFFFF"/>
                <w:sz w:val="20"/>
                <w:szCs w:val="20"/>
              </w:rPr>
              <w:t xml:space="preserve">Medium</w:t>
            </w:r>
          </w:p>
        </w:tc>
        <w:tc>
          <w:tcPr>
            <w:tcW w:type="dxa" w:w="200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center"/>
            </w:pPr>
            <w:r>
              <w:rPr>
                <w:rFonts w:ascii="Aptos" w:cs="Aptos" w:eastAsia="Aptos" w:hAnsi="Aptos"/>
                <w:b/>
                <w:bCs/>
                <w:color w:val="FFFFFF"/>
                <w:sz w:val="20"/>
                <w:szCs w:val="20"/>
              </w:rPr>
              <w:t xml:space="preserve">Large</w:t>
            </w:r>
          </w:p>
        </w:tc>
      </w:tr>
      <w:tr>
        <w:tc>
          <w:tcPr>
            <w:gridSpan w:val="4"/>
            <w:tcBorders>
              <w:top w:val="single" w:color="CCCCCC" w:sz="2"/>
              <w:left w:val="single" w:color="CCCCCC" w:sz="2"/>
              <w:bottom w:val="single" w:color="CCCCCC" w:sz="2"/>
              <w:right w:val="single" w:color="CCCCCC" w:sz="2"/>
            </w:tcBorders>
            <w:shd w:fill="E6F1FB" w:color="auto" w:val="clear"/>
            <w:tcMar>
              <w:top w:type="dxa" w:w="50"/>
              <w:left w:type="dxa" w:w="110"/>
              <w:bottom w:type="dxa" w:w="50"/>
              <w:right w:type="dxa" w:w="110"/>
            </w:tcMar>
          </w:tcPr>
          <w:p>
            <w:r>
              <w:rPr>
                <w:rFonts w:ascii="Aptos" w:cs="Aptos" w:eastAsia="Aptos" w:hAnsi="Aptos"/>
                <w:b/>
                <w:bCs/>
                <w:color w:val="0C447C"/>
                <w:sz w:val="18"/>
                <w:szCs w:val="18"/>
              </w:rPr>
              <w:t xml:space="preserve">Baseline drivers — your profile is the lowest of these three</w:t>
            </w:r>
          </w:p>
        </w:tc>
      </w:tr>
      <w:tr>
        <w:tc>
          <w:tcPr>
            <w:tcW w:type="dxa" w:w="33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1. Who handles IT day to day?</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Vendor-managed or none</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Shared county / city IT</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Dedicated PSAP IT staff</w:t>
            </w:r>
          </w:p>
        </w:tc>
      </w:tr>
      <w:tr>
        <w:tc>
          <w:tcPr>
            <w:tcW w:type="dxa" w:w="33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2. Who owns cybersecurity tasks?</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No one formally</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Part-time or shared duty</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A named, dedicated role</w:t>
            </w:r>
          </w:p>
        </w:tc>
      </w:tr>
      <w:tr>
        <w:tc>
          <w:tcPr>
            <w:tcW w:type="dxa" w:w="33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3. What can you operate and sustain?</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Manual: checklists, sheets</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Some tooling: endpoint, logging, MFA</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Centralized: SIEM, MDM, monitoring</w:t>
            </w:r>
          </w:p>
        </w:tc>
      </w:tr>
      <w:tr>
        <w:tc>
          <w:tcPr>
            <w:gridSpan w:val="4"/>
            <w:tcBorders>
              <w:top w:val="single" w:color="CCCCCC" w:sz="2"/>
              <w:left w:val="single" w:color="CCCCCC" w:sz="2"/>
              <w:bottom w:val="single" w:color="CCCCCC" w:sz="2"/>
              <w:right w:val="single" w:color="CCCCCC" w:sz="2"/>
            </w:tcBorders>
            <w:shd w:fill="E6F1FB" w:color="auto" w:val="clear"/>
            <w:tcMar>
              <w:top w:type="dxa" w:w="50"/>
              <w:left w:type="dxa" w:w="110"/>
              <w:bottom w:type="dxa" w:w="50"/>
              <w:right w:type="dxa" w:w="110"/>
            </w:tcMar>
          </w:tcPr>
          <w:p>
            <w:r>
              <w:rPr>
                <w:rFonts w:ascii="Aptos" w:cs="Aptos" w:eastAsia="Aptos" w:hAnsi="Aptos"/>
                <w:b/>
                <w:bCs/>
                <w:color w:val="0C447C"/>
                <w:sz w:val="18"/>
                <w:szCs w:val="18"/>
              </w:rPr>
              <w:t xml:space="preserve">Confirming &amp; exception drivers</w:t>
            </w:r>
          </w:p>
        </w:tc>
      </w:tr>
      <w:tr>
        <w:tc>
          <w:tcPr>
            <w:tcW w:type="dxa" w:w="33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4. FTE dispatchers? (annotation only)</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1–5</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6–25</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25+</w:t>
            </w:r>
          </w:p>
        </w:tc>
      </w:tr>
      <w:tr>
        <w:tc>
          <w:tcPr>
            <w:tcW w:type="dxa" w:w="33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5. Call-handling environment?</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Single CAD + ESInet</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Some redundancy, mixed cloud</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Full NG911, many integrations</w:t>
            </w:r>
          </w:p>
        </w:tc>
      </w:tr>
      <w:tr>
        <w:tc>
          <w:tcPr>
            <w:tcW w:type="dxa" w:w="33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6. Governance in place today?</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Few or no policies</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Some, inconsistent</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19"/>
                <w:szCs w:val="19"/>
              </w:rPr>
              <w:t xml:space="preserve">Maintained, reviewed set</w:t>
            </w:r>
          </w:p>
        </w:tc>
      </w:tr>
    </w:tbl>
    <w:p>
      <w:pPr>
        <w:spacing w:after="80" w:before="160"/>
      </w:pPr>
      <w:r>
        <w:rPr>
          <w:rFonts w:ascii="Aptos" w:cs="Aptos" w:eastAsia="Aptos" w:hAnsi="Aptos"/>
          <w:b/>
          <w:bCs/>
          <w:color w:val="1F1F1D"/>
          <w:sz w:val="24"/>
          <w:szCs w:val="24"/>
        </w:rPr>
        <w:t xml:space="preserve">Two flags, independent of profile</w:t>
      </w:r>
    </w:p>
    <w:p>
      <w:pPr>
        <w:pStyle w:val="ListParagraph"/>
        <w:numPr>
          <w:ilvl w:val="0"/>
          <w:numId w:val="1"/>
        </w:numPr>
        <w:spacing w:after="80"/>
      </w:pPr>
      <w:r>
        <w:rPr>
          <w:rFonts w:ascii="Aptos" w:cs="Aptos" w:eastAsia="Aptos" w:hAnsi="Aptos"/>
          <w:b/>
          <w:bCs/>
          <w:color w:val="1F1F1D"/>
          <w:sz w:val="24"/>
          <w:szCs w:val="24"/>
        </w:rPr>
        <w:t xml:space="preserve">7. CJIS / IDACS data in scope?  </w:t>
      </w:r>
      <w:r>
        <w:rPr>
          <w:rFonts w:ascii="Aptos" w:cs="Aptos" w:eastAsia="Aptos" w:hAnsi="Aptos"/>
          <w:color w:val="1F1F1D"/>
          <w:sz w:val="24"/>
          <w:szCs w:val="24"/>
        </w:rPr>
        <w:t xml:space="preserve">If yes, apply the CJIS overlay and append “/ CJIS” to the classification on every artifact that touches that data. The profile does not change.</w:t>
      </w:r>
    </w:p>
    <w:p>
      <w:pPr>
        <w:pStyle w:val="ListParagraph"/>
        <w:numPr>
          <w:ilvl w:val="0"/>
          <w:numId w:val="1"/>
        </w:numPr>
        <w:spacing w:after="80"/>
      </w:pPr>
      <w:r>
        <w:rPr>
          <w:rFonts w:ascii="Aptos" w:cs="Aptos" w:eastAsia="Aptos" w:hAnsi="Aptos"/>
          <w:b/>
          <w:bCs/>
          <w:color w:val="1F1F1D"/>
          <w:sz w:val="24"/>
          <w:szCs w:val="24"/>
        </w:rPr>
        <w:t xml:space="preserve">8. Consolidated or co-located?  </w:t>
      </w:r>
      <w:r>
        <w:rPr>
          <w:rFonts w:ascii="Aptos" w:cs="Aptos" w:eastAsia="Aptos" w:hAnsi="Aptos"/>
          <w:color w:val="1F1F1D"/>
          <w:sz w:val="24"/>
          <w:szCs w:val="24"/>
        </w:rPr>
        <w:t xml:space="preserve">Consolidated or multi-agency scales up inter-agency agreements and MOUs. Co-located with another agency scales up physical security and shared-space artifacts.</w:t>
      </w:r>
    </w:p>
    <w:p>
      <w:pPr>
        <w:pBdr>
          <w:bottom w:val="single" w:color="185FA5" w:sz="6" w:space="2"/>
        </w:pBdr>
        <w:spacing w:after="100" w:before="240"/>
      </w:pPr>
      <w:r>
        <w:rPr>
          <w:rFonts w:ascii="Aptos" w:cs="Aptos" w:eastAsia="Aptos" w:hAnsi="Aptos"/>
          <w:b/>
          <w:bCs/>
          <w:color w:val="185FA5"/>
          <w:sz w:val="26"/>
          <w:szCs w:val="26"/>
        </w:rPr>
        <w:t xml:space="preserve">How your profile is decided</w:t>
      </w:r>
    </w:p>
    <w:p>
      <w:pPr>
        <w:pStyle w:val="ListParagraph"/>
        <w:numPr>
          <w:ilvl w:val="0"/>
          <w:numId w:val="1"/>
        </w:numPr>
        <w:spacing w:after="80"/>
      </w:pPr>
      <w:r>
        <w:rPr>
          <w:rFonts w:ascii="Aptos" w:cs="Aptos" w:eastAsia="Aptos" w:hAnsi="Aptos"/>
          <w:b/>
          <w:bCs/>
          <w:color w:val="1F1F1D"/>
          <w:sz w:val="24"/>
          <w:szCs w:val="24"/>
        </w:rPr>
        <w:t xml:space="preserve">Baseline.  </w:t>
      </w:r>
      <w:r>
        <w:rPr>
          <w:rFonts w:ascii="Aptos" w:cs="Aptos" w:eastAsia="Aptos" w:hAnsi="Aptos"/>
          <w:color w:val="1F1F1D"/>
          <w:sz w:val="24"/>
          <w:szCs w:val="24"/>
        </w:rPr>
        <w:t xml:space="preserve">Take the lowest of questions 1, 2, and 3. That is your profile. The weakest sustaining capability sets the floor, because a control you cannot maintain is not a control.</w:t>
      </w:r>
    </w:p>
    <w:p>
      <w:pPr>
        <w:pStyle w:val="ListParagraph"/>
        <w:numPr>
          <w:ilvl w:val="0"/>
          <w:numId w:val="1"/>
        </w:numPr>
        <w:spacing w:after="80"/>
      </w:pPr>
      <w:r>
        <w:rPr>
          <w:rFonts w:ascii="Aptos" w:cs="Aptos" w:eastAsia="Aptos" w:hAnsi="Aptos"/>
          <w:b/>
          <w:bCs/>
          <w:color w:val="1F1F1D"/>
          <w:sz w:val="24"/>
          <w:szCs w:val="24"/>
        </w:rPr>
        <w:t xml:space="preserve">Scale up, never down.  </w:t>
      </w:r>
      <w:r>
        <w:rPr>
          <w:rFonts w:ascii="Aptos" w:cs="Aptos" w:eastAsia="Aptos" w:hAnsi="Aptos"/>
          <w:color w:val="1F1F1D"/>
          <w:sz w:val="24"/>
          <w:szCs w:val="24"/>
        </w:rPr>
        <w:t xml:space="preserve">If your call-handling environment (Q5) or governance (Q6) sits above the baseline, build those specific domains at the higher level. A center can run Small overall and Medium on its network artifacts without pretending to be Medium everywhere.</w:t>
      </w:r>
    </w:p>
    <w:p>
      <w:pPr>
        <w:pStyle w:val="ListParagraph"/>
        <w:numPr>
          <w:ilvl w:val="0"/>
          <w:numId w:val="1"/>
        </w:numPr>
        <w:spacing w:after="80"/>
      </w:pPr>
      <w:r>
        <w:rPr>
          <w:rFonts w:ascii="Aptos" w:cs="Aptos" w:eastAsia="Aptos" w:hAnsi="Aptos"/>
          <w:b/>
          <w:bCs/>
          <w:color w:val="1F1F1D"/>
          <w:sz w:val="24"/>
          <w:szCs w:val="24"/>
        </w:rPr>
        <w:t xml:space="preserve">Headcount only annotates.  </w:t>
      </w:r>
      <w:r>
        <w:rPr>
          <w:rFonts w:ascii="Aptos" w:cs="Aptos" w:eastAsia="Aptos" w:hAnsi="Aptos"/>
          <w:color w:val="1F1F1D"/>
          <w:sz w:val="24"/>
          <w:szCs w:val="24"/>
        </w:rPr>
        <w:t xml:space="preserve">Question 4 never sets the profile. If it disagrees with your capability by more than one step, the result flags it for a human look, but capability wins.</w:t>
      </w:r>
    </w:p>
    <w:p>
      <w:pPr>
        <w:pStyle w:val="ListParagraph"/>
        <w:numPr>
          <w:ilvl w:val="0"/>
          <w:numId w:val="1"/>
        </w:numPr>
        <w:spacing w:after="80"/>
      </w:pPr>
      <w:r>
        <w:rPr>
          <w:rFonts w:ascii="Aptos" w:cs="Aptos" w:eastAsia="Aptos" w:hAnsi="Aptos"/>
          <w:b/>
          <w:bCs/>
          <w:color w:val="1F1F1D"/>
          <w:sz w:val="24"/>
          <w:szCs w:val="24"/>
        </w:rPr>
        <w:t xml:space="preserve">Governance behind capability.  </w:t>
      </w:r>
      <w:r>
        <w:rPr>
          <w:rFonts w:ascii="Aptos" w:cs="Aptos" w:eastAsia="Aptos" w:hAnsi="Aptos"/>
          <w:color w:val="1F1F1D"/>
          <w:sz w:val="24"/>
          <w:szCs w:val="24"/>
        </w:rPr>
        <w:t xml:space="preserve">If governance (Q6) sits below your baseline, you still start at the baseline. The gap becomes a priority to close, not a reason to aim lower.</w:t>
      </w:r>
    </w:p>
    <w:p>
      <w:pPr>
        <w:pBdr>
          <w:bottom w:val="single" w:color="185FA5" w:sz="6" w:space="2"/>
        </w:pBdr>
        <w:spacing w:after="100" w:before="240"/>
      </w:pPr>
      <w:r>
        <w:rPr>
          <w:rFonts w:ascii="Aptos" w:cs="Aptos" w:eastAsia="Aptos" w:hAnsi="Aptos"/>
          <w:b/>
          <w:bCs/>
          <w:color w:val="185FA5"/>
          <w:sz w:val="26"/>
          <w:szCs w:val="26"/>
        </w:rPr>
        <w:t xml:space="preserve">Worked example: Wabash Valley Communications</w:t>
      </w:r>
    </w:p>
    <w:p>
      <w:pPr>
        <w:spacing w:after="120"/>
      </w:pPr>
      <w:r>
        <w:rPr>
          <w:rFonts w:ascii="Aptos" w:cs="Aptos" w:eastAsia="Aptos" w:hAnsi="Aptos"/>
          <w:b w:val="false"/>
          <w:bCs w:val="false"/>
          <w:i w:val="false"/>
          <w:iCs w:val="false"/>
          <w:color w:val="1F1F1D"/>
          <w:sz w:val="24"/>
          <w:szCs w:val="24"/>
        </w:rPr>
        <w:t xml:space="preserve">A consolidated multi-county center. Fourteen dispatchers across two shifts, shared county IT (a three-person team), a part-time security coordinator, and dual CAD/ESInet redundancy across mixed cloud and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600"/>
        <w:gridCol w:w="2000"/>
      </w:tblGrid>
      <w:tr>
        <w:trPr>
          <w:tblHeader/>
        </w:trPr>
        <w:tc>
          <w:tcPr>
            <w:tcW w:type="dxa" w:w="376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left"/>
            </w:pPr>
            <w:r>
              <w:rPr>
                <w:rFonts w:ascii="Aptos" w:cs="Aptos" w:eastAsia="Aptos" w:hAnsi="Aptos"/>
                <w:b/>
                <w:bCs/>
                <w:color w:val="FFFFFF"/>
                <w:sz w:val="20"/>
                <w:szCs w:val="20"/>
              </w:rPr>
              <w:t xml:space="preserve">Question</w:t>
            </w:r>
          </w:p>
        </w:tc>
        <w:tc>
          <w:tcPr>
            <w:tcW w:type="dxa" w:w="360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left"/>
            </w:pPr>
            <w:r>
              <w:rPr>
                <w:rFonts w:ascii="Aptos" w:cs="Aptos" w:eastAsia="Aptos" w:hAnsi="Aptos"/>
                <w:b/>
                <w:bCs/>
                <w:color w:val="FFFFFF"/>
                <w:sz w:val="20"/>
                <w:szCs w:val="20"/>
              </w:rPr>
              <w:t xml:space="preserve">Wabash Valley’s answer</w:t>
            </w:r>
          </w:p>
        </w:tc>
        <w:tc>
          <w:tcPr>
            <w:tcW w:type="dxa" w:w="200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jc w:val="center"/>
            </w:pPr>
            <w:r>
              <w:rPr>
                <w:rFonts w:ascii="Aptos" w:cs="Aptos" w:eastAsia="Aptos" w:hAnsi="Aptos"/>
                <w:b/>
                <w:bCs/>
                <w:color w:val="FFFFFF"/>
                <w:sz w:val="20"/>
                <w:szCs w:val="20"/>
              </w:rPr>
              <w:t xml:space="preserve">Reads as</w:t>
            </w:r>
          </w:p>
        </w:tc>
      </w:tr>
      <w:tr>
        <w:tc>
          <w:tcPr>
            <w:tcW w:type="dxa" w:w="37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1. IT support</w:t>
            </w:r>
          </w:p>
        </w:tc>
        <w:tc>
          <w:tcPr>
            <w:tcW w:type="dxa" w:w="36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Shared county IT</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w:t>
            </w:r>
          </w:p>
        </w:tc>
      </w:tr>
      <w:tr>
        <w:tc>
          <w:tcPr>
            <w:tcW w:type="dxa" w:w="37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2. Security ownership</w:t>
            </w:r>
          </w:p>
        </w:tc>
        <w:tc>
          <w:tcPr>
            <w:tcW w:type="dxa" w:w="36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Part-time coordinator</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w:t>
            </w:r>
          </w:p>
        </w:tc>
      </w:tr>
      <w:tr>
        <w:tc>
          <w:tcPr>
            <w:tcW w:type="dxa" w:w="37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3. Tooling</w:t>
            </w:r>
          </w:p>
        </w:tc>
        <w:tc>
          <w:tcPr>
            <w:tcW w:type="dxa" w:w="36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Some tooling maintained</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w:t>
            </w:r>
          </w:p>
        </w:tc>
      </w:tr>
      <w:tr>
        <w:tc>
          <w:tcPr>
            <w:tcW w:type="dxa" w:w="37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4. Dispatchers</w:t>
            </w:r>
          </w:p>
        </w:tc>
        <w:tc>
          <w:tcPr>
            <w:tcW w:type="dxa" w:w="36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14</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 (note only)</w:t>
            </w:r>
          </w:p>
        </w:tc>
      </w:tr>
      <w:tr>
        <w:tc>
          <w:tcPr>
            <w:tcW w:type="dxa" w:w="37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5. Call-handling environment</w:t>
            </w:r>
          </w:p>
        </w:tc>
        <w:tc>
          <w:tcPr>
            <w:tcW w:type="dxa" w:w="36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Dual redundancy, mixed cloud</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w:t>
            </w:r>
          </w:p>
        </w:tc>
      </w:tr>
      <w:tr>
        <w:tc>
          <w:tcPr>
            <w:tcW w:type="dxa" w:w="37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6. Governance</w:t>
            </w:r>
          </w:p>
        </w:tc>
        <w:tc>
          <w:tcPr>
            <w:tcW w:type="dxa" w:w="36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Maintained but informal</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Medium</w:t>
            </w:r>
          </w:p>
        </w:tc>
      </w:tr>
      <w:tr>
        <w:tc>
          <w:tcPr>
            <w:tcW w:type="dxa" w:w="376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bCs/>
                <w:color w:val="1F1F1D"/>
                <w:sz w:val="20"/>
                <w:szCs w:val="20"/>
              </w:rPr>
              <w:t xml:space="preserve">7. CJIS / IDACS</w:t>
            </w:r>
          </w:p>
        </w:tc>
        <w:tc>
          <w:tcPr>
            <w:tcW w:type="dxa" w:w="36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Yes</w:t>
            </w:r>
          </w:p>
        </w:tc>
        <w:tc>
          <w:tcPr>
            <w:tcW w:type="dxa" w:w="2000"/>
            <w:tcBorders>
              <w:top w:val="single" w:color="CCCCCC" w:sz="2"/>
              <w:left w:val="single" w:color="CCCCCC" w:sz="2"/>
              <w:bottom w:val="single" w:color="CCCCCC" w:sz="2"/>
              <w:right w:val="single" w:color="CCCCCC" w:sz="2"/>
            </w:tcBorders>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Flag</w:t>
            </w:r>
          </w:p>
        </w:tc>
      </w:tr>
      <w:tr>
        <w:tc>
          <w:tcPr>
            <w:tcW w:type="dxa" w:w="376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bCs/>
                <w:color w:val="1F1F1D"/>
                <w:sz w:val="20"/>
                <w:szCs w:val="20"/>
              </w:rPr>
              <w:t xml:space="preserve">8. Structure</w:t>
            </w:r>
          </w:p>
        </w:tc>
        <w:tc>
          <w:tcPr>
            <w:tcW w:type="dxa" w:w="36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left"/>
            </w:pPr>
            <w:r>
              <w:rPr>
                <w:rFonts w:ascii="Aptos" w:cs="Aptos" w:eastAsia="Aptos" w:hAnsi="Aptos"/>
                <w:b w:val="false"/>
                <w:bCs w:val="false"/>
                <w:color w:val="1F1F1D"/>
                <w:sz w:val="20"/>
                <w:szCs w:val="20"/>
              </w:rPr>
              <w:t xml:space="preserve">Consolidated / multi-agency</w:t>
            </w:r>
          </w:p>
        </w:tc>
        <w:tc>
          <w:tcPr>
            <w:tcW w:type="dxa" w:w="2000"/>
            <w:tcBorders>
              <w:top w:val="single" w:color="CCCCCC" w:sz="2"/>
              <w:left w:val="single" w:color="CCCCCC" w:sz="2"/>
              <w:bottom w:val="single" w:color="CCCCCC" w:sz="2"/>
              <w:right w:val="single" w:color="CCCCCC" w:sz="2"/>
            </w:tcBorders>
            <w:shd w:fill="F6F5F1" w:color="auto" w:val="clear"/>
            <w:tcMar>
              <w:top w:type="dxa" w:w="60"/>
              <w:left w:type="dxa" w:w="110"/>
              <w:bottom w:type="dxa" w:w="60"/>
              <w:right w:type="dxa" w:w="110"/>
            </w:tcMar>
          </w:tcPr>
          <w:p>
            <w:pPr>
              <w:jc w:val="center"/>
            </w:pPr>
            <w:r>
              <w:rPr>
                <w:rFonts w:ascii="Aptos" w:cs="Aptos" w:eastAsia="Aptos" w:hAnsi="Aptos"/>
                <w:b w:val="false"/>
                <w:bCs w:val="false"/>
                <w:color w:val="1F1F1D"/>
                <w:sz w:val="20"/>
                <w:szCs w:val="20"/>
              </w:rPr>
              <w:t xml:space="preserve">Flag</w:t>
            </w:r>
          </w:p>
        </w:tc>
      </w:tr>
    </w:tbl>
    <w:p>
      <w:pPr>
        <w:spacing w:after="120"/>
      </w:pPr>
      <w:r>
        <w:rPr>
          <w:rFonts w:ascii="Aptos" w:cs="Aptos" w:eastAsia="Aptos" w:hAnsi="Aptos"/>
          <w:b w:val="false"/>
          <w:bCs w:val="false"/>
          <w:i w:val="false"/>
          <w:iCs w:val="false"/>
          <w:color w:val="1F1F1D"/>
          <w:sz w:val="24"/>
          <w:szCs w:val="24"/>
        </w:rPr>
        <w:t xml:space="preserve">Result: baseline </w:t>
      </w:r>
      <w:r>
        <w:rPr>
          <w:rFonts w:ascii="Aptos" w:cs="Aptos" w:eastAsia="Aptos" w:hAnsi="Aptos"/>
          <w:b/>
          <w:bCs/>
          <w:i w:val="false"/>
          <w:iCs w:val="false"/>
          <w:color w:val="1F1F1D"/>
          <w:sz w:val="24"/>
          <w:szCs w:val="24"/>
        </w:rPr>
        <w:t xml:space="preserve">Medium</w:t>
      </w:r>
      <w:r>
        <w:rPr>
          <w:rFonts w:ascii="Aptos" w:cs="Aptos" w:eastAsia="Aptos" w:hAnsi="Aptos"/>
          <w:b w:val="false"/>
          <w:bCs w:val="false"/>
          <w:i w:val="false"/>
          <w:iCs w:val="false"/>
          <w:color w:val="1F1F1D"/>
          <w:sz w:val="24"/>
          <w:szCs w:val="24"/>
        </w:rPr>
        <w:t xml:space="preserve">, set by the lowest of questions 1 to 3, which all read Medium. No single domain outruns that baseline, so nothing scales above Medium. Two flags fire. Consolidated scales up the inter-agency agreements: the IT Support Accountability Agreement, the Overflow Routing Agreement, the Data Sharing Agreement, and the Data Sharing and Disclosure Approval Procedure. CJIS applies the classification overlay.</w:t>
      </w:r>
    </w:p>
    <w:p>
      <w:pPr>
        <w:spacing w:after="140"/>
      </w:pPr>
      <w:r>
        <w:rPr>
          <w:rFonts w:ascii="Aptos" w:cs="Aptos" w:eastAsia="Aptos" w:hAnsi="Aptos"/>
          <w:b w:val="false"/>
          <w:bCs w:val="false"/>
          <w:i w:val="false"/>
          <w:iCs w:val="false"/>
          <w:color w:val="1F1F1D"/>
          <w:sz w:val="24"/>
          <w:szCs w:val="24"/>
        </w:rPr>
        <w:t xml:space="preserve">Wabash Valley is even across the board, so nothing scales up beyond the baseline. A center that had pushed to full NG911 ahead of its staffing would be different: its network, encryption, logging, and configuration artifacts would flag to scale up while the baseline stayed Medium. That gap is the whole point of scaling by domain.</w:t>
      </w:r>
    </w:p>
    <w:p>
      <w:pPr>
        <w:spacing w:after="160" w:before="60"/>
      </w:pPr>
      <w:r>
        <w:rPr>
          <w:rFonts w:ascii="Aptos" w:cs="Aptos" w:eastAsia="Aptos" w:hAnsi="Aptos"/>
          <w:i/>
          <w:iCs/>
          <w:color w:val="5F5E5A"/>
          <w:sz w:val="18"/>
          <w:szCs w:val="18"/>
        </w:rPr>
        <w:t xml:space="preserve">Drafter’s note: the running profile fixes Wabash Valley’s size, IT model, security role, footprint, and consolidation. Its tooling (Q3), governance maturity (Q6), and IDACS scope (Q7) are not specified, and were read as Medium / Yes here for illustration. Confirm against the center’s actual posture.</w:t>
      </w:r>
    </w:p>
    <w:p>
      <w:pPr>
        <w:pBdr>
          <w:top w:val="single" w:color="CCCCCC" w:sz="4" w:space="4"/>
        </w:pBdr>
        <w:spacing w:before="220"/>
      </w:pPr>
      <w:r>
        <w:rPr>
          <w:rFonts w:ascii="Aptos" w:cs="Aptos" w:eastAsia="Aptos" w:hAnsi="Aptos"/>
          <w:i/>
          <w:iCs/>
          <w:color w:val="5F5E5A"/>
          <w:sz w:val="20"/>
          <w:szCs w:val="20"/>
        </w:rPr>
        <w:t xml:space="preserve">Use the interactive selector to compute this automatically, or work the table by hand. Either way, record the baseline you chose, every domain you scaled up, and why, so an assessor can follow your reasoning.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F5E5A"/>
        <w:sz w:val="16"/>
        <w:szCs w:val="16"/>
      </w:rPr>
      <w:t xml:space="preserve">911 Authority, LLC  ·  Indiana Statewide 911 Board Cybersecurity Assessment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2026-06-02T14:46:49.748Z</dcterms:created>
  <dcterms:modified xsi:type="dcterms:W3CDTF">2026-06-02T14:46:49.748Z</dcterms:modified>
</cp:coreProperties>
</file>

<file path=docProps/custom.xml><?xml version="1.0" encoding="utf-8"?>
<Properties xmlns="http://schemas.openxmlformats.org/officeDocument/2006/custom-properties" xmlns:vt="http://schemas.openxmlformats.org/officeDocument/2006/docPropsVTypes"/>
</file>