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xmlns:a="http://schemas.openxmlformats.org/drawingml/2006/main" xmlns:pic="http://schemas.openxmlformats.org/drawingml/2006/picture">
            <wp:extent cx="960120" cy="960120"/>
            <wp:docPr id="1" name="Seal"/>
            <wp:cNvGraphicFramePr>
              <a:graphicFrameLocks noChangeAspect="1"/>
            </wp:cNvGraphicFramePr>
            <a:graphic>
              <a:graphicData uri="http://schemas.openxmlformats.org/drawingml/2006/picture">
                <pic:pic>
                  <pic:nvPicPr>
                    <pic:cNvPr id="0" name="seal_hickory.png"/>
                    <pic:cNvPicPr/>
                  </pic:nvPicPr>
                  <pic:blipFill>
                    <a:blip r:embed="rId90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 xml:space="preserve">Cybersecurity Charter / Leadership Designation Letter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Adopted by Wabash Valley Communications under the authority of the Wabash Valley Communications Governing Board.</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Version: 1.0    Effective Date: March 2, 2026    Next Review: March 2, 2027</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Owner: Director</w:t>
            </w:r>
            <w:r>
              <w:rPr>
                <w:rFonts w:ascii="Aptos" w:cs="Aptos" w:eastAsia="Aptos" w:hAnsi="Aptos"/>
                <w:b w:val="false"/>
                <w:bCs w:val="false"/>
                <w:i w:val="false"/>
                <w:iCs w:val="false"/>
                <w:sz w:val="24"/>
                <w:szCs w:val="24"/>
              </w:rPr>
              <w:t xml:space="preserve"/>
            </w:r>
          </w:p>
          <w:p>
            <w:pPr>
              <w:spacing w:after="20"/>
            </w:pPr>
            <w:r>
              <w:rPr>
                <w:rFonts w:ascii="Aptos" w:cs="Aptos" w:eastAsia="Aptos" w:hAnsi="Aptos"/>
                <w:b/>
                <w:bCs/>
                <w:i w:val="false"/>
                <w:iCs w:val="false"/>
                <w:sz w:val="24"/>
                <w:szCs w:val="24"/>
              </w:rPr>
              <w:t xml:space="preserve">Classification: Internal</w:t>
            </w:r>
            <w:r>
              <w:rPr>
                <w:rFonts w:ascii="Aptos" w:cs="Aptos" w:eastAsia="Aptos" w:hAnsi="Aptos"/>
                <w:b w:val="false"/>
                <w:bCs w:val="false"/>
                <w:i w:val="false"/>
                <w:iCs w:val="false"/>
                <w:sz w:val="24"/>
                <w:szCs w:val="24"/>
              </w:rPr>
              <w:t xml:space="preserve"/>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charter establishes Wabash Valley Communications's cybersecurity and privacy program and authorizes the resources and authority to run it. It names the program's executive sponsor, designates the cybersecurity and privacy lead, and confirms the Director's authority to direct IT resources, whether county, contracted, or in-house, toward security work. Every other security document the Agency maintains operates under the program this charter establishes.</w:t>
      </w:r>
    </w:p>
    <w:p>
      <w:pPr>
        <w:pStyle w:val="Heading2"/>
        <w:spacing w:after="100" w:before="220"/>
      </w:pPr>
      <w:r>
        <w:rPr>
          <w:rFonts w:ascii="Aptos" w:cs="Aptos" w:eastAsia="Aptos" w:hAnsi="Aptos"/>
          <w:b/>
          <w:bCs/>
          <w:color w:val="1B3A5C"/>
          <w:sz w:val="26"/>
          <w:szCs w:val="26"/>
        </w:rPr>
        <w:t xml:space="preserve">Strategic Objectives</w:t>
      </w:r>
    </w:p>
    <w:p>
      <w:pPr>
        <w:spacing w:after="120" w:before="0"/>
      </w:pPr>
      <w:r>
        <w:rPr>
          <w:rFonts w:ascii="Aptos" w:cs="Aptos" w:eastAsia="Aptos" w:hAnsi="Aptos"/>
          <w:b w:val="false"/>
          <w:bCs w:val="false"/>
          <w:i w:val="false"/>
          <w:iCs w:val="false"/>
          <w:sz w:val="24"/>
          <w:szCs w:val="24"/>
        </w:rPr>
        <w:t xml:space="preserve">Protect 9-1-1 service. Keep call-handling and dispatch available, and protect the systems and data that support them against cyber and physical threats.</w:t>
      </w:r>
    </w:p>
    <w:p>
      <w:pPr>
        <w:spacing w:after="120" w:before="0"/>
      </w:pPr>
      <w:r>
        <w:rPr>
          <w:rFonts w:ascii="Aptos" w:cs="Aptos" w:eastAsia="Aptos" w:hAnsi="Aptos"/>
          <w:b w:val="false"/>
          <w:bCs w:val="false"/>
          <w:i w:val="false"/>
          <w:iCs w:val="false"/>
          <w:sz w:val="24"/>
          <w:szCs w:val="24"/>
        </w:rPr>
        <w:t xml:space="preserve">Meet legal and regulatory obligations. Satisfy the CJIS, IDACS, and Indiana cyber-incident and breach requirements that apply to the Agency.</w:t>
      </w:r>
    </w:p>
    <w:p>
      <w:pPr>
        <w:spacing w:after="120" w:before="0"/>
      </w:pPr>
      <w:r>
        <w:rPr>
          <w:rFonts w:ascii="Aptos" w:cs="Aptos" w:eastAsia="Aptos" w:hAnsi="Aptos"/>
          <w:b w:val="false"/>
          <w:bCs w:val="false"/>
          <w:i w:val="false"/>
          <w:iCs w:val="false"/>
          <w:sz w:val="24"/>
          <w:szCs w:val="24"/>
        </w:rPr>
        <w:t xml:space="preserve">Manage risk deliberately. Identify, score, and treat risk to mission-critical systems on a set cadence, within the Agency's stated risk appetite.</w:t>
      </w:r>
    </w:p>
    <w:p>
      <w:pPr>
        <w:spacing w:after="120" w:before="0"/>
      </w:pPr>
      <w:r>
        <w:rPr>
          <w:rFonts w:ascii="Aptos" w:cs="Aptos" w:eastAsia="Aptos" w:hAnsi="Aptos"/>
          <w:b w:val="false"/>
          <w:bCs w:val="false"/>
          <w:i w:val="false"/>
          <w:iCs w:val="false"/>
          <w:sz w:val="24"/>
          <w:szCs w:val="24"/>
        </w:rPr>
        <w:t xml:space="preserve">Build a security-aware workforce. Train personnel to recognize and report threats, and hold them accountable for protecting credentials and data.</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Agency personnel and leadership, and any county, contracted, or in-house IT staff and vendors who support the Agency's systems.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the cybersecurity and privacy program as a whole, its governance, the authority to direct resources, and the designation of the cybersecurity and privacy lead. The program governs all systems and data used to receive, process, and dispatch 9-1-1 calls.</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the day-to-day technical controls and procedures, which are set in the documents issued under this charter. None.</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 xml:space="preserve">Designated Cybersecurity and Privacy Lead: the individual the Director appoints to coordinate the Agency's cybersecurity and privacy program. Named in Roles &amp; Responsibilities below.</w:t>
      </w:r>
    </w:p>
    <w:p>
      <w:pPr>
        <w:pStyle w:val="Heading2"/>
        <w:spacing w:after="100" w:before="220"/>
      </w:pPr>
      <w:r>
        <w:rPr>
          <w:rFonts w:ascii="Aptos" w:cs="Aptos" w:eastAsia="Aptos" w:hAnsi="Aptos"/>
          <w:b/>
          <w:bCs/>
          <w:color w:val="1B3A5C"/>
          <w:sz w:val="26"/>
          <w:szCs w:val="26"/>
        </w:rPr>
        <w:t xml:space="preserve">4. Policy Statement</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establishes a cybersecurity and privacy program under the authority of the Wabash Valley Communications Governing Board, and maintains it as an ongoing function, not a one-time project.</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designates a Cybersecurity and Privacy Lead, named in Roles &amp; Responsibilities, who coordinates the program and serves as the Agency's primary cybersecurity point of contact.</w:t>
      </w:r>
    </w:p>
    <w:p>
      <w:pPr>
        <w:pStyle w:val="ListParagraph"/>
        <w:numPr>
          <w:ilvl w:val="0"/>
          <w:numId w:val="3"/>
        </w:numPr>
        <w:spacing w:after="60"/>
      </w:pPr>
      <w:r>
        <w:rPr>
          <w:rFonts w:ascii="Aptos" w:cs="Aptos" w:eastAsia="Aptos" w:hAnsi="Aptos"/>
          <w:b w:val="false"/>
          <w:bCs w:val="false"/>
          <w:i w:val="false"/>
          <w:iCs w:val="false"/>
          <w:sz w:val="24"/>
          <w:szCs w:val="24"/>
        </w:rPr>
        <w:t xml:space="preserve">The Director holds the authority to direct IT resources, whether county, contracted, or in-house, toward the security work this program requires.</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commits the resources recorded in Committed Resources and tracks them in the Cybersecurity Budget &amp; Resource Allocation Record.</w:t>
      </w:r>
    </w:p>
    <w:p>
      <w:pPr>
        <w:pStyle w:val="ListParagraph"/>
        <w:numPr>
          <w:ilvl w:val="0"/>
          <w:numId w:val="3"/>
        </w:numPr>
        <w:spacing w:after="60"/>
      </w:pPr>
      <w:r>
        <w:rPr>
          <w:rFonts w:ascii="Aptos" w:cs="Aptos" w:eastAsia="Aptos" w:hAnsi="Aptos"/>
          <w:b w:val="false"/>
          <w:bCs w:val="false"/>
          <w:i w:val="false"/>
          <w:iCs w:val="false"/>
          <w:sz w:val="24"/>
          <w:szCs w:val="24"/>
        </w:rPr>
        <w:t xml:space="preserve">Leadership reviews the program and the threats facing it on a set cadence, recorded in the Leadership Security Review Meeting Minutes.</w:t>
      </w:r>
    </w:p>
    <w:p>
      <w:pPr>
        <w:pStyle w:val="ListParagraph"/>
        <w:numPr>
          <w:ilvl w:val="0"/>
          <w:numId w:val="3"/>
        </w:numPr>
        <w:spacing w:after="60"/>
      </w:pPr>
      <w:r>
        <w:rPr>
          <w:rFonts w:ascii="Aptos" w:cs="Aptos" w:eastAsia="Aptos" w:hAnsi="Aptos"/>
          <w:b w:val="false"/>
          <w:bCs w:val="false"/>
          <w:i w:val="false"/>
          <w:iCs w:val="false"/>
          <w:sz w:val="24"/>
          <w:szCs w:val="24"/>
        </w:rPr>
        <w:t xml:space="preserve">The program operates within the risk appetite set in the Risk Management Methodology Standard.</w:t>
      </w:r>
    </w:p>
    <w:p>
      <w:pPr>
        <w:pStyle w:val="Heading2"/>
        <w:spacing w:after="100" w:before="220"/>
      </w:pPr>
      <w:r>
        <w:rPr>
          <w:rFonts w:ascii="Aptos" w:cs="Aptos" w:eastAsia="Aptos" w:hAnsi="Aptos"/>
          <w:b/>
          <w:bCs/>
          <w:color w:val="1B3A5C"/>
          <w:sz w:val="26"/>
          <w:szCs w:val="26"/>
        </w:rPr>
        <w:t xml:space="preserve">5.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Designated Cybersecurity &amp; Privacy Lead: Dana Mercer, Security Coordinator (part-time), Wabash Valley Communications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Coordinates the cybersecurity and privacy program, maintains the security document set, and is the Agency's primary cybersecurity point of contact. A specific person is named here by design; revise this charter when the appointee changes.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Sponsors and owns the program, authorizes resources, and directs IT toward security work. Approves this charter.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Shared County IT (three-person team across departments)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Carries out the technical security work the program directs, under the IT Support Accountability Agreement.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Shift 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Reinforces the program on shift and ensures staff meet training and reporting expectations.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Follow the program's policies and procedures, protect credentials and data, and report suspected incidents.</w:t>
            </w:r>
          </w:p>
        </w:tc>
      </w:tr>
    </w:tbl>
    <w:p>
      <w:pPr>
        <w:pStyle w:val="Heading2"/>
        <w:spacing w:after="100" w:before="220"/>
      </w:pPr>
      <w:r>
        <w:rPr>
          <w:rFonts w:ascii="Aptos" w:cs="Aptos" w:eastAsia="Aptos" w:hAnsi="Aptos"/>
          <w:b/>
          <w:bCs/>
          <w:color w:val="1B3A5C"/>
          <w:sz w:val="26"/>
          <w:szCs w:val="26"/>
        </w:rPr>
        <w:t xml:space="preserve">Committed Resources</w:t>
      </w:r>
    </w:p>
    <w:p>
      <w:pPr>
        <w:spacing w:after="120" w:before="0"/>
      </w:pPr>
      <w:r>
        <w:rPr>
          <w:rFonts w:ascii="Aptos" w:cs="Aptos" w:eastAsia="Aptos" w:hAnsi="Aptos"/>
          <w:b w:val="false"/>
          <w:bCs w:val="false"/>
          <w:i w:val="false"/>
          <w:iCs w:val="false"/>
          <w:sz w:val="24"/>
          <w:szCs w:val="24"/>
        </w:rPr>
        <w:t xml:space="preserve">Leadership commits a dedicated cybersecurity budget line, the staffing or assigned time for the Designated Cybersecurity and Privacy Lead, and funding for the tools and training the program requires. The amounts, staffing, and funding sources are recorded and tracked each cycle in the Cybersecurity Budget &amp; Resource Allocation Record. The FY2026 budget commits a dedicated cybersecurity allocation of about $60,500, including the part-time Security Coordinator (0.5 FTE), tooling for both centers, and training; the detail is tracked in the Cybersecurity Budget &amp; Resource Allocation Record.</w:t>
      </w:r>
    </w:p>
    <w:p>
      <w:pPr>
        <w:pStyle w:val="Heading2"/>
        <w:spacing w:after="100" w:before="220"/>
      </w:pPr>
      <w:r>
        <w:rPr>
          <w:rFonts w:ascii="Aptos" w:cs="Aptos" w:eastAsia="Aptos" w:hAnsi="Aptos"/>
          <w:b/>
          <w:bCs/>
          <w:color w:val="1B3A5C"/>
          <w:sz w:val="26"/>
          <w:szCs w:val="26"/>
        </w:rPr>
        <w:t xml:space="preserve">6. Enforcement</w:t>
      </w:r>
    </w:p>
    <w:p>
      <w:pPr>
        <w:spacing w:after="120" w:before="0"/>
      </w:pPr>
      <w:r>
        <w:rPr>
          <w:rFonts w:ascii="Aptos" w:cs="Aptos" w:eastAsia="Aptos" w:hAnsi="Aptos"/>
          <w:b w:val="false"/>
          <w:bCs w:val="false"/>
          <w:i w:val="false"/>
          <w:iCs w:val="false"/>
          <w:sz w:val="24"/>
          <w:szCs w:val="24"/>
        </w:rPr>
        <w:t xml:space="preserve">The Director oversees the program and this charter. Failure to carry out an assigned program responsibility is handled under the Agency's county personnel policy. Authority granted by this charter does not lapse on personnel change; it transfers with the role.</w:t>
      </w:r>
    </w:p>
    <w:p>
      <w:pPr>
        <w:pStyle w:val="Heading2"/>
        <w:spacing w:after="100" w:before="220"/>
      </w:pPr>
      <w:r>
        <w:rPr>
          <w:rFonts w:ascii="Aptos" w:cs="Aptos" w:eastAsia="Aptos" w:hAnsi="Aptos"/>
          <w:b/>
          <w:bCs/>
          <w:color w:val="1B3A5C"/>
          <w:sz w:val="26"/>
          <w:szCs w:val="26"/>
        </w:rPr>
        <w:t xml:space="preserve">7. Exceptions</w:t>
      </w:r>
    </w:p>
    <w:p>
      <w:pPr>
        <w:spacing w:after="120" w:before="0"/>
      </w:pPr>
      <w:r>
        <w:rPr>
          <w:rFonts w:ascii="Aptos" w:cs="Aptos" w:eastAsia="Aptos" w:hAnsi="Aptos"/>
          <w:b w:val="false"/>
          <w:bCs w:val="false"/>
          <w:i w:val="false"/>
          <w:iCs w:val="false"/>
          <w:sz w:val="24"/>
          <w:szCs w:val="24"/>
        </w:rPr>
        <w:t xml:space="preserve">This charter sets the program's authority and grants no standing exceptions. Any change to the program's scope, authority, or designated lead is made by revising this charter with the written approval of the Wabash Valley Communications Governing Board.</w:t>
      </w:r>
    </w:p>
    <w:p>
      <w:pPr>
        <w:pStyle w:val="Heading2"/>
        <w:spacing w:after="100" w:before="220"/>
      </w:pPr>
      <w:r>
        <w:rPr>
          <w:rFonts w:ascii="Aptos" w:cs="Aptos" w:eastAsia="Aptos" w:hAnsi="Aptos"/>
          <w:b/>
          <w:bCs/>
          <w:color w:val="1B3A5C"/>
          <w:sz w:val="26"/>
          <w:szCs w:val="26"/>
        </w:rPr>
        <w:t xml:space="preserve">8. Review Schedule</w:t>
      </w:r>
    </w:p>
    <w:p>
      <w:pPr>
        <w:spacing w:after="120" w:before="0"/>
      </w:pPr>
      <w:r>
        <w:rPr>
          <w:rFonts w:ascii="Aptos" w:cs="Aptos" w:eastAsia="Aptos" w:hAnsi="Aptos"/>
          <w:b w:val="false"/>
          <w:bCs w:val="false"/>
          <w:i w:val="false"/>
          <w:iCs w:val="false"/>
          <w:sz w:val="24"/>
          <w:szCs w:val="24"/>
        </w:rPr>
        <w:t xml:space="preserve">This charter is reviewed at least annually and whenever the program's sponsor, designated lead, or scope changes, by the Director. Because it names a specific individual as the Designated Cybersecurity and Privacy Lead, it is revised when that person changes; a stale designation is a finding.</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director is usually both the sponsor and the designated lead, and signs in both roles. County or vendor IT carries out the technical work under the IT Support Accountability Agreement. An annual review is enough; revisit after any incident or staffing change.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Name a security coordinator as the designated lead, separate from the director who sponsors the program. Tie the committed budget line to the county's cycle. Review the charter when the coordinator or sponsor changes.</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charter sits at the top of a formal program. A dedicated or part-time security role holds the designation, leadership reviews the program on a set schedule, and the committed resources are managed as a standing budget line.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 xml:space="preserve">NENA-STA-040.2-2024: §4.1.1, §4.1.2</w:t>
            </w:r>
          </w:p>
          <w:p>
            <w:pPr>
              <w:spacing w:after="40" w:before="0"/>
            </w:pPr>
            <w:r>
              <w:rPr>
                <w:rFonts w:ascii="Aptos" w:cs="Aptos" w:eastAsia="Aptos" w:hAnsi="Aptos"/>
                <w:b w:val="false"/>
                <w:bCs w:val="false"/>
                <w:i w:val="false"/>
                <w:iCs w:val="false"/>
                <w:sz w:val="24"/>
                <w:szCs w:val="24"/>
              </w:rPr>
              <w:t xml:space="preserve">NIST SP 800-53 Rev. 5: PM-1, PM-2, PM-3, PM-11</w:t>
            </w:r>
          </w:p>
          <w:p>
            <w:pPr>
              <w:spacing w:after="40" w:before="0"/>
            </w:pPr>
            <w:r>
              <w:rPr>
                <w:rFonts w:ascii="Aptos" w:cs="Aptos" w:eastAsia="Aptos" w:hAnsi="Aptos"/>
                <w:b w:val="false"/>
                <w:bCs w:val="false"/>
                <w:i w:val="false"/>
                <w:iCs w:val="false"/>
                <w:sz w:val="24"/>
                <w:szCs w:val="24"/>
              </w:rPr>
              <w:t xml:space="preserve">Indiana statutes and administrative code: HEA 1169 (2021) — designate and annually update the cyber incident reporting contact</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Authorizing official (Governing Board)</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per Board action 2026-08</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Governing Board</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March 2,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March 2,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March 2,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rPr>
        <w:noProof/>
      </w:rPr>
      <w:pict>
        <v:shapetype id="_x0000_t136" coordsize="21600,21600" o:spt="136" adj="10800" path="m@7,0l@8,0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shapetype>
        <v:shape id="WM1" o:spid="_x0000_s2049" type="#_x0000_t136" style="position:absolute;margin-left:0;margin-top:0;width:500pt;height:150pt;rotation:315;z-index:-251658752;mso-position-horizontal:center;mso-position-horizontal-relative:margin;mso-position-vertical:center;mso-position-vertical-relative:margin" fillcolor="#c9c9c9" stroked="f">
          <v:fill opacity=".5"/>
          <v:textpath style="font-family:&quot;Calibri&quot;;font-size:1pt" string="SAMPLE"/>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900" Type="http://schemas.openxmlformats.org/officeDocument/2006/relationships/image" Target="media/image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