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Wabash Valley Communications under the authority of Anthony Reyes,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February 24, 2026    Next Review: February 24,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24,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13:00 to 13:50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Wabash Valley Communications operations center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Leadership Security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Director, Wabash Valley Communications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Dana Mercer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 (part-time)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Priya Nair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 lead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second year of the program; Risk Methodology Standard adopted; first formal risk assessment complete; SIEM tuning underway across both centers.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no incidents this quarter; SIEM flagged three brute-force attempts on the VPN, all blocked; phishing click rate down to 6%.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highest risk is lateral movement between the two sites' networks; the segmentation project is funded for FY2026.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regional ISAC advisory on ransomware targeting public safety; reviewed backup-restore readiness.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Approve the network segmentation project between the two centers in Q2.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Move quarterly phishing simulations to monthly for the next two quarters.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Scope the inter-site network segmentation project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31,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Stand up monthly phishing simulations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15,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May 26, 2026. Focus: segmentation project plan and phishing results.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on the Wabash Valley Communications secure file share.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 —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(Security Coordinator)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24,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24,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24,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