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960120" cy="960120"/>
            <wp:docPr id="1" name="Seal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al_hickory.png"/>
                    <pic:cNvPicPr/>
                  </pic:nvPicPr>
                  <pic:blipFill>
                    <a:blip r:embed="rId900"/>
                    <a:stretch>
                      <a:fillRect/>
                    </a:stretch>
                  </pic:blipFill>
                  <pic:spPr>
                    <a:xfrm>
                      <a:off x="0" y="0"/>
                      <a:ext cx="960120" cy="9601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60"/>
      </w:pPr>
      <w:r>
        <w:rPr>
          <w:rFonts w:ascii="Aptos" w:cs="Aptos" w:eastAsia="Aptos" w:hAnsi="Aptos"/>
          <w:b/>
          <w:bCs/>
          <w:color w:val="1B3A5C"/>
          <w:sz w:val="40"/>
          <w:szCs w:val="40"/>
        </w:rPr>
        <w:t xml:space="preserve">Leadership Security Review Meeting Minutes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>Authority: Adopted by Hickory County 911 under the authority of Tracy Holloway, Director.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/>
            </w: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/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/>
            </w: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/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/>
            </w:r>
          </w:p>
          <w:p>
            <w:pPr>
              <w:spacing w:after="6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>Version: 1.0    Effective Date: February 10, 2026    Next Review: February 10, 2027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/>
            </w: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/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/>
            </w: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/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/>
            </w:r>
          </w:p>
          <w:p>
            <w:pPr>
              <w:spacing w:after="6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>Owner: Director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/>
            </w:r>
          </w:p>
          <w:p>
            <w:pPr>
              <w:spacing w:after="2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>Classification: Restricted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/>
            </w:r>
          </w:p>
        </w:tc>
      </w:tr>
    </w:tbl>
    <w:p>
      <w:pPr>
        <w:spacing w:after="60"/>
      </w:pP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1. Meeting Identification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>Date</w:t>
            </w:r>
          </w:p>
        </w:tc>
        <w:tc>
          <w:tcPr>
            <w:tcW w:type="dxa" w:w="6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February 10, 2026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>Time</w:t>
            </w:r>
          </w:p>
        </w:tc>
        <w:tc>
          <w:tcPr>
            <w:tcW w:type="dxa" w:w="6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10:00 to 10:40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>Location / medium</w:t>
            </w:r>
          </w:p>
        </w:tc>
        <w:tc>
          <w:tcPr>
            <w:tcW w:type="dxa" w:w="6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Hickory County 911 conference room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>Meeting type &amp; cadence</w:t>
            </w:r>
          </w:p>
        </w:tc>
        <w:tc>
          <w:tcPr>
            <w:tcW w:type="dxa" w:w="6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Quarterly Leadership Security Review</w:t>
            </w:r>
          </w:p>
        </w:tc>
      </w:tr>
    </w:tbl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2. Attendees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4000"/>
        <w:gridCol w:w="1960"/>
      </w:tblGrid>
      <w:tr>
        <w:trPr>
          <w:tblHeader/>
        </w:trP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Name</w:t>
            </w:r>
          </w:p>
        </w:tc>
        <w:tc>
          <w:tcPr>
            <w:tcW w:type="dxa" w:w="4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Role / Title</w:t>
            </w:r>
          </w:p>
        </w:tc>
        <w:tc>
          <w:tcPr>
            <w:tcW w:type="dxa" w:w="1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Present (Y/N)</w:t>
            </w:r>
          </w:p>
        </w:tc>
      </w:tr>
      <w:t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Tracy Holloway</w:t>
            </w:r>
          </w:p>
        </w:tc>
        <w:tc>
          <w:tcPr>
            <w:tcW w:type="dxa" w:w="4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Director, Hickory County 911</w:t>
            </w:r>
          </w:p>
        </w:tc>
        <w:tc>
          <w:tcPr>
            <w:tcW w:type="dxa" w:w="1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Y</w:t>
            </w:r>
          </w:p>
        </w:tc>
      </w:tr>
      <w:t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Marcus Hale</w:t>
            </w:r>
          </w:p>
        </w:tc>
        <w:tc>
          <w:tcPr>
            <w:tcW w:type="dxa" w:w="4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County IT Administrator</w:t>
            </w:r>
          </w:p>
        </w:tc>
        <w:tc>
          <w:tcPr>
            <w:tcW w:type="dxa" w:w="1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Y</w:t>
            </w:r>
          </w:p>
        </w:tc>
      </w:tr>
      <w:t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Brenda Cole</w:t>
            </w:r>
          </w:p>
        </w:tc>
        <w:tc>
          <w:tcPr>
            <w:tcW w:type="dxa" w:w="4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Senior dispatcher</w:t>
            </w:r>
          </w:p>
        </w:tc>
        <w:tc>
          <w:tcPr>
            <w:tcW w:type="dxa" w:w="1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Y</w:t>
            </w:r>
          </w:p>
        </w:tc>
      </w:tr>
    </w:tbl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3. Topics Reviewed</w:t>
      </w:r>
    </w:p>
    <w:p>
      <w:pPr>
        <w:spacing w:after="120" w:before="0"/>
      </w:pPr>
      <w:r>
        <w:rPr>
          <w:rFonts w:ascii="Aptos" w:cs="Aptos" w:eastAsia="Aptos" w:hAnsi="Aptos"/>
          <w:b/>
          <w:bCs/>
          <w:i w:val="false"/>
          <w:iCs w:val="false"/>
          <w:sz w:val="24"/>
          <w:szCs w:val="24"/>
        </w:rPr>
        <w:t xml:space="preserve">Program status: </w:t>
      </w: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 xml:space="preserve">first year of the program; Charter, Privacy Policy, and Risk Methodology Standard adopted; asset inventory in progress.</w:t>
      </w:r>
    </w:p>
    <w:p>
      <w:pPr>
        <w:spacing w:after="120" w:before="0"/>
      </w:pPr>
      <w:r>
        <w:rPr>
          <w:rFonts w:ascii="Aptos" w:cs="Aptos" w:eastAsia="Aptos" w:hAnsi="Aptos"/>
          <w:b/>
          <w:bCs/>
          <w:i w:val="false"/>
          <w:iCs w:val="false"/>
          <w:sz w:val="24"/>
          <w:szCs w:val="24"/>
        </w:rPr>
        <w:t xml:space="preserve">Metrics reviewed: </w:t>
      </w: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 xml:space="preserve">no security incidents this quarter; two phishing emails reported by staff and deleted; one overdue CAD patch, since resolved.</w:t>
      </w:r>
    </w:p>
    <w:p>
      <w:pPr>
        <w:spacing w:after="120" w:before="0"/>
      </w:pPr>
      <w:r>
        <w:rPr>
          <w:rFonts w:ascii="Aptos" w:cs="Aptos" w:eastAsia="Aptos" w:hAnsi="Aptos"/>
          <w:b/>
          <w:bCs/>
          <w:i w:val="false"/>
          <w:iCs w:val="false"/>
          <w:sz w:val="24"/>
          <w:szCs w:val="24"/>
        </w:rPr>
        <w:t xml:space="preserve">Risks reviewed: </w:t>
      </w: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 xml:space="preserve">top risk remains the single-carrier upstream for call delivery; the backup call-handling procedure is drafted but untested.</w:t>
      </w:r>
    </w:p>
    <w:p>
      <w:pPr>
        <w:spacing w:after="120" w:before="0"/>
      </w:pPr>
      <w:r>
        <w:rPr>
          <w:rFonts w:ascii="Aptos" w:cs="Aptos" w:eastAsia="Aptos" w:hAnsi="Aptos"/>
          <w:b/>
          <w:bCs/>
          <w:i w:val="false"/>
          <w:iCs w:val="false"/>
          <w:sz w:val="24"/>
          <w:szCs w:val="24"/>
        </w:rPr>
        <w:t xml:space="preserve">Threats / intelligence reviewed: </w:t>
      </w: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 xml:space="preserve">state 911 board advisory on TDoS against PSAPs; reviewed Hickory's call-overflow plan against it.</w:t>
      </w: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4. Decisions &amp; Priorities</w:t>
      </w:r>
    </w:p>
    <w:p>
      <w:pPr>
        <w:spacing w:after="120" w:before="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 xml:space="preserve">Schedule a tabletop test of the backup call-handling procedure before the next review.</w:t>
      </w:r>
    </w:p>
    <w:p>
      <w:pPr>
        <w:spacing w:after="120" w:before="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 xml:space="preserve">Fund a second upstream path for call delivery in the FY2027 budget request.</w:t>
      </w: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5. Action Items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0"/>
        <w:gridCol w:w="2400"/>
        <w:gridCol w:w="1560"/>
        <w:gridCol w:w="1400"/>
      </w:tblGrid>
      <w:tr>
        <w:trPr>
          <w:tblHeader/>
        </w:trPr>
        <w:tc>
          <w:tcPr>
            <w:tcW w:type="dxa" w:w="4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Action Item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Owner (Role)</w:t>
            </w:r>
          </w:p>
        </w:tc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Due Date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Status</w:t>
            </w:r>
          </w:p>
        </w:tc>
      </w:tr>
      <w:tr>
        <w:tc>
          <w:tcPr>
            <w:tcW w:type="dxa" w:w="4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Run a backup call-handling tabletop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Director</w:t>
            </w:r>
          </w:p>
        </w:tc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April 30, 2026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Open</w:t>
            </w:r>
          </w:p>
        </w:tc>
      </w:tr>
      <w:tr>
        <w:tc>
          <w:tcPr>
            <w:tcW w:type="dxa" w:w="4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Add second upstream path to FY2027 budget request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Director</w:t>
            </w:r>
          </w:p>
        </w:tc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June 1, 2026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Open</w:t>
            </w:r>
          </w:p>
        </w:tc>
      </w:tr>
    </w:tbl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6. Next Meeting</w:t>
      </w:r>
    </w:p>
    <w:p>
      <w:pPr>
        <w:spacing w:after="120" w:before="0"/>
      </w:pPr>
      <w:r>
        <w:rPr>
          <w:rFonts w:ascii="Aptos" w:cs="Aptos" w:eastAsia="Aptos" w:hAnsi="Aptos"/>
          <w:b/>
          <w:bCs/>
          <w:i w:val="false"/>
          <w:iCs w:val="false"/>
          <w:sz w:val="24"/>
          <w:szCs w:val="24"/>
        </w:rPr>
        <w:t xml:space="preserve">Next review: </w:t>
      </w: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 xml:space="preserve">May 12, 2026. Focus: results of the backup call-handling tabletop.</w:t>
      </w: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Retention</w:t>
      </w:r>
    </w:p>
    <w:p>
      <w:pPr>
        <w:spacing w:after="120" w:before="0"/>
      </w:pPr>
      <w:r>
        <w:rPr>
          <w:rFonts w:ascii="Aptos" w:cs="Aptos" w:eastAsia="Aptos" w:hAnsi="Aptos"/>
          <w:b/>
          <w:bCs/>
          <w:i w:val="false"/>
          <w:iCs w:val="false"/>
          <w:sz w:val="24"/>
          <w:szCs w:val="24"/>
        </w:rPr>
        <w:t xml:space="preserve">Retention: </w:t>
      </w: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 xml:space="preserve">3 years, stored on the Hickory County 911 secure drive.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1B3A5C"/>
                <w:sz w:val="24"/>
                <w:szCs w:val="24"/>
              </w:rPr>
              <w:t xml:space="preserve">Source Authority</w:t>
            </w:r>
          </w:p>
          <w:p>
            <w:pPr>
              <w:spacing w:after="4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NENA-STA-040.2-2024: §4.1.1</w:t>
            </w:r>
          </w:p>
          <w:p>
            <w:pPr>
              <w:spacing w:after="4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NIST SP 800-53 Rev. 5: CA-7, PM-1</w:t>
            </w:r>
          </w:p>
          <w:p>
            <w:pPr>
              <w:spacing w:after="4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Indiana statutes and administrative code: HEA 1169 (2021) — annually update the cyber incident reporting contact</w:t>
            </w:r>
          </w:p>
        </w:tc>
      </w:tr>
    </w:tbl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Sign-off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2360"/>
        <w:gridCol w:w="2600"/>
        <w:gridCol w:w="1400"/>
      </w:tblGrid>
      <w:tr>
        <w:trPr>
          <w:tblHeader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Role</w:t>
            </w:r>
          </w:p>
        </w:tc>
        <w:tc>
          <w:tcPr>
            <w:tcW w:type="dxa" w:w="2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Name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Signature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Date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Recorded by (Director)</w:t>
            </w:r>
          </w:p>
        </w:tc>
        <w:tc>
          <w:tcPr>
            <w:tcW w:type="dxa" w:w="2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Tracy Holloway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/s/ Tracy Holloway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February 10, 2026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Chair (Director)</w:t>
            </w:r>
          </w:p>
        </w:tc>
        <w:tc>
          <w:tcPr>
            <w:tcW w:type="dxa" w:w="2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Tracy Holloway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/s/ Tracy Holloway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February 10, 2026</w:t>
            </w:r>
          </w:p>
        </w:tc>
      </w:tr>
    </w:tbl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Revision History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1600"/>
        <w:gridCol w:w="2200"/>
        <w:gridCol w:w="4260"/>
      </w:tblGrid>
      <w:tr>
        <w:trPr>
          <w:tblHeader/>
        </w:trP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Version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Date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Author</w:t>
            </w:r>
          </w:p>
        </w:tc>
        <w:tc>
          <w:tcPr>
            <w:tcW w:type="dxa" w:w="4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Summary of Change</w:t>
            </w:r>
          </w:p>
        </w:tc>
      </w:tr>
      <w:t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1.0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February 10, 2026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Director</w:t>
            </w:r>
          </w:p>
        </w:tc>
        <w:tc>
          <w:tcPr>
            <w:tcW w:type="dxa" w:w="4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Initial record</w:t>
            </w:r>
          </w:p>
        </w:tc>
      </w:tr>
    </w:tbl>
    <w:p>
      <w:pPr>
        <w:spacing w:after="60"/>
      </w:pP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ptos" w:cs="Aptos" w:eastAsia="Aptos" w:hAnsi="Aptos"/>
        <w:color w:val="595959"/>
        <w:sz w:val="18"/>
        <w:szCs w:val="18"/>
      </w:rPr>
      <w:t xml:space="preserve">Page </w:t>
    </w:r>
    <w:r>
      <w:rPr>
        <w:rFonts w:ascii="Aptos" w:cs="Aptos" w:eastAsia="Aptos" w:hAnsi="Aptos"/>
        <w:color w:val="595959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Aptos" w:cs="Aptos" w:eastAsia="Aptos" w:hAnsi="Aptos"/>
        <w:color w:val="595959"/>
        <w:sz w:val="18"/>
        <w:szCs w:val="18"/>
      </w:rPr>
      <w:t xml:space="preserve"> of </w:t>
    </w:r>
    <w:r>
      <w:rPr>
        <w:rFonts w:ascii="Aptos" w:cs="Aptos" w:eastAsia="Aptos" w:hAnsi="Aptos"/>
        <w:color w:val="595959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1B3A5C" w:sz="6" w:space="2"/>
      </w:pBdr>
      <w:jc w:val="right"/>
    </w:pPr>
    <w:r>
      <w:rPr>
        <w:rFonts w:ascii="Aptos" w:cs="Aptos" w:eastAsia="Aptos" w:hAnsi="Aptos"/>
        <w:color w:val="595959"/>
        <w:sz w:val="16"/>
        <w:szCs w:val="16"/>
      </w:rPr>
    </w:r>
  </w:p>
  <w:p>
    <w:r>
      <w:rPr>
        <w:noProof/>
      </w:rPr>
      <w:pict>
        <v:shapetype id="_x0000_t136" coordsize="21600,21600" o:spt="136" adj="10800" path="m@7,0l@8,0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</v:shapetype>
        <v:shape id="WM1" o:spid="_x0000_s2049" type="#_x0000_t136" style="position:absolute;margin-left:0;margin-top:0;width:500pt;height:150pt;rotation:315;z-index:-251658752;mso-position-horizontal:center;mso-position-horizontal-relative:margin;mso-position-vertical:center;mso-position-vertical-relative:margin" fillcolor="#c9c9c9" stroked="f">
          <v:fill opacity=".5"/>
          <v:textpath style="font-family:&quot;Calibri&quot;;font-size:1pt" string="SAMPLE"/>
        </v:shape>
      </w:pic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4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5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9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10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11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1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num w:numId="1">
    <w:abstractNumId w:val="1"/>
    <w:lvlOverride w:ilvl="0">
      <w:startOverride w:val="1"/>
    </w:lvlOverride>
  </w:num>
  <w:num w:numId="2">
    <w:abstractNumId w:val="4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ptos" w:cs="Aptos" w:eastAsia="Aptos" w:hAnsi="Aptos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240"/>
      <w:outlineLvl w:val="0"/>
    </w:pPr>
    <w:rPr>
      <w:rFonts w:ascii="Aptos" w:cs="Aptos" w:eastAsia="Aptos" w:hAnsi="Aptos"/>
      <w:b/>
      <w:bCs/>
      <w:color w:val="1B3A5C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00" w:before="220"/>
      <w:outlineLvl w:val="1"/>
    </w:pPr>
    <w:rPr>
      <w:rFonts w:ascii="Aptos" w:cs="Aptos" w:eastAsia="Aptos" w:hAnsi="Aptos"/>
      <w:b/>
      <w:bCs/>
      <w:color w:val="1B3A5C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Relationship Id="rId900" Type="http://schemas.openxmlformats.org/officeDocument/2006/relationships/image" Target="media/image1.png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2026-06-01T15:29:11.401Z</dcterms:created>
  <dcterms:modified xsi:type="dcterms:W3CDTF">2026-06-01T15:29:11.401Z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