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Management Methodology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Tri-River Regional 911 Center under the authority of Dr. Lisa Park, Executive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January 20, 2026    Next Review: January 20,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Information Security Analyst</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standard sets how Tri-River Regional 911 Center manages cybersecurity risk: the risk it is willing to accept, the scales it uses to score risk, and the threats it accounts for. It implements the Cybersecurity &amp; Privacy Policy and governs the Risk Assessment Procedure that runs against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mission-critical public-safety systems and the data they handle, and every risk assessment the Agency performs.</w:t>
      </w:r>
    </w:p>
    <w:p>
      <w:pPr>
        <w:pStyle w:val="ListParagraph"/>
        <w:numPr>
          <w:ilvl w:val="0"/>
          <w:numId w:val="2"/>
        </w:numPr>
        <w:spacing w:after="60"/>
      </w:pPr>
      <w:r>
        <w:rPr>
          <w:rFonts w:ascii="Aptos" w:cs="Aptos" w:eastAsia="Aptos" w:hAnsi="Aptos"/>
          <w:b w:val="false"/>
          <w:bCs w:val="false"/>
          <w:i w:val="false"/>
          <w:iCs w:val="false"/>
          <w:sz w:val="24"/>
          <w:szCs w:val="24"/>
        </w:rPr>
        <w:t xml:space="preserve">Implements: Cybersecurity &amp; Privacy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manage risk to its mission-critical systems within the risk appetite stated below, and shall not accept a risk above that appetite without a recorded deviation.</w:t>
      </w:r>
    </w:p>
    <w:p>
      <w:pPr>
        <w:pStyle w:val="ListParagraph"/>
        <w:numPr>
          <w:ilvl w:val="0"/>
          <w:numId w:val="3"/>
        </w:numPr>
        <w:spacing w:after="60"/>
      </w:pPr>
      <w:r>
        <w:rPr>
          <w:rFonts w:ascii="Aptos" w:cs="Aptos" w:eastAsia="Aptos" w:hAnsi="Aptos"/>
          <w:b w:val="false"/>
          <w:bCs w:val="false"/>
          <w:i w:val="false"/>
          <w:iCs w:val="false"/>
          <w:sz w:val="24"/>
          <w:szCs w:val="24"/>
        </w:rPr>
        <w:t xml:space="preserve">Risk appetite. The Agency accepts low-to-moderate residual risk to systems that support 9-1-1 call handling and dispatch, and accepts no avoidable risk that would interrupt call answering or dispatch. </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score each risk on likelihood and impact using the scales in Approved and Prohibited, rating impact against service availability, data, and life safety.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account for, at minimum, the threat vectors listed in Approved and Prohibited: phishing and social engineering, malware and ransomware, supplier and third-party compromise, and denial-of-service against call delivery.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assess risk at least annually and after any major system change or significant incident, following the Risk Assessment Procedure.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record assessed risks in the Risk Register and track treatment decisions in the Risk / Finding Register (POA&amp;M).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Likelihood scale: Rare, Unlikely, Possible, Likely, Almost Certain.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Scoring risk without the approved scales.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Impact scale: Negligible, Minor, Moderate, Major, Severe, rated against service, data, and life safety.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Treating a life-safety impact as anything below Major.</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Risk rating: likelihood combined with impact, mapped to Low, Moderate, High, Critical.</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Accepting a High or Critical risk to call handling or dispatch without a recorded deviation.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Threat vectors in scope: phishing, malware and ransomware, supplier compromise, denial-of-service.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Leaving an assessed risk out of the Risk Register.</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 xml:space="preserve">A deviation from this standard, including accepting a risk above the stated appetite, requires written approval from the Executive Director. The request states the risk, the reason, any compensating controls, and an end date. Approved deviations are recorded in the Risk Register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 xml:space="preserve">This standard is reviewed at least annually and after any significant change to the Agency's systems, threats, or risk tolerance, by the Executive Director.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Use the scales as written and keep the assessment light: one director-led review a year, plus a check after any major change. The appetite statement matters most; set it deliberately and hold to it.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assessment against these scales twice a year or on major change, and maintains the Risk Register. Tune the appetite with county leadership.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methodology drives a formal, scheduled risk program. The security role owns the scales, the rating thresholds, and the appetite, and reports risk posture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 §4.3.2</w:t>
            </w:r>
          </w:p>
          <w:p>
            <w:pPr>
              <w:spacing w:after="40" w:before="0"/>
            </w:pPr>
            <w:r>
              <w:rPr>
                <w:rFonts w:ascii="Aptos" w:cs="Aptos" w:eastAsia="Aptos" w:hAnsi="Aptos"/>
                <w:b w:val="false"/>
                <w:bCs w:val="false"/>
                <w:i w:val="false"/>
                <w:iCs w:val="false"/>
                <w:sz w:val="24"/>
                <w:szCs w:val="24"/>
              </w:rPr>
              <w:t xml:space="preserve">NIST SP 800-53 Rev. 5: PM-9, PM-28, RA-1, RA-3, RA-7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