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Anthony Reyes,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Security Coordinator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Wabash Valley Communications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 scales as written and keep the assessment light: one director-led review a year, plus a check after any major change. The appetite statement matters most; set it deliberately and hold to 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assessment against these scales twice a year or on major change, and maintains the Risk Register. Tune the appetite with county leadership.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methodology drives a formal, scheduled risk program. The security role owns the scales, the rating thresholds, and the appetite, and reports risk posture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