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Hickory County 911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 scales as written and keep the assessment light: one director-led review a year, plus a check after any major change. The appetite statement matters most; set it deliberately and hold to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assessment against these scales twice a year or on major change, and maintains the Risk Register. Tune the appetite with county leadership.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methodology drives a formal, scheduled risk program. The security role owns the scales, the rating thresholds, and the appetite, and reports risk posture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