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Cybersecurity Charter / Leadership Designation Letter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 xml:space="preserve">[Agency Name]</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 xml:space="preserve">[signing official / title]</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[Date]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 xml:space="preserve">[Date]</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[Role title]   </w:t>
            </w:r>
            <w:r>
              <w:rPr>
                <w:rFonts w:ascii="Aptos" w:cs="Aptos" w:eastAsia="Aptos" w:hAnsi="Aptos"/>
                <w:b w:val="false"/>
                <w:bCs w:val="false"/>
                <w:i/>
                <w:iCs/>
                <w:color w:val="595959"/>
                <w:sz w:val="24"/>
                <w:szCs w:val="24"/>
              </w:rPr>
              <w:t xml:space="preserve">«use a role, not a person’s name.»</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 xml:space="preserve">Internal</w:t>
            </w:r>
          </w:p>
          <w:p>
            <w:pPr>
              <w:spacing w:after="0"/>
            </w:pPr>
            <w:r>
              <w:rPr>
                <w:rFonts w:ascii="Aptos" w:cs="Aptos" w:eastAsia="Aptos" w:hAnsi="Aptos"/>
                <w:i/>
                <w:iCs/>
                <w:color w:val="595959"/>
                <w:sz w:val="24"/>
                <w:szCs w:val="24"/>
              </w:rPr>
              <w:t xml:space="preserve">«Minimum for Policy artifacts. Your agency may raise this but not lower it. Append “ / CJIS” if CJIS-regulated data is in scope. Raise to Restricted if this policy embeds specific operational configuration or response logic.»</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How to use this template </w:t>
            </w:r>
            <w:r>
              <w:rPr>
                <w:rFonts w:ascii="Aptos" w:cs="Aptos" w:eastAsia="Aptos" w:hAnsi="Aptos"/>
                <w:b w:val="false"/>
                <w:bCs w:val="false"/>
                <w:i/>
                <w:iCs/>
                <w:color w:val="595959"/>
                <w:sz w:val="24"/>
                <w:szCs w:val="24"/>
              </w:rPr>
              <w:t xml:space="preserve">(delete this box before publishing)</w:t>
            </w:r>
          </w:p>
          <w:p>
            <w:pPr>
              <w:spacing w:after="140"/>
            </w:pPr>
            <w:r>
              <w:rPr>
                <w:rFonts w:ascii="Aptos" w:cs="Aptos" w:eastAsia="Aptos" w:hAnsi="Aptos"/>
                <w:i/>
                <w:iCs/>
                <w:color w:val="595959"/>
                <w:sz w:val="24"/>
                <w:szCs w:val="24"/>
              </w:rPr>
              <w:t xml:space="preserve">This template is ready to adopt. Replace every [BRACKETED] field with your agency's information, follow the « » guidance notes, and delete every « » note and this box before you publish.</w:t>
            </w:r>
          </w:p>
          <w:p>
            <w:pPr>
              <w:spacing w:after="0"/>
            </w:pPr>
            <w:r>
              <w:rPr>
                <w:rFonts w:ascii="Aptos" w:cs="Aptos" w:eastAsia="Aptos" w:hAnsi="Aptos"/>
                <w:b/>
                <w:bCs/>
                <w:i w:val="false"/>
                <w:iCs w:val="false"/>
                <w:sz w:val="24"/>
                <w:szCs w:val="24"/>
              </w:rPr>
              <w:t xml:space="preserve">Placeholder key: </w:t>
            </w:r>
            <w:r>
              <w:rPr>
                <w:rFonts w:ascii="Aptos" w:cs="Aptos" w:eastAsia="Aptos" w:hAnsi="Aptos"/>
                <w:b w:val="false"/>
                <w:bCs w:val="false"/>
                <w:i w:val="false"/>
                <w:iCs w:val="false"/>
                <w:sz w:val="24"/>
                <w:szCs w:val="24"/>
              </w:rPr>
              <w:t xml:space="preserve">[BRACKETED] = fill in   ·   </w:t>
            </w:r>
            <w:r>
              <w:rPr>
                <w:rFonts w:ascii="Aptos" w:cs="Aptos" w:eastAsia="Aptos" w:hAnsi="Aptos"/>
                <w:b/>
                <w:bCs/>
                <w:i w:val="false"/>
                <w:iCs w:val="false"/>
                <w:sz w:val="24"/>
                <w:szCs w:val="24"/>
              </w:rPr>
              <w:t xml:space="preserve">[REQUIRED]</w:t>
            </w:r>
            <w:r>
              <w:rPr>
                <w:rFonts w:ascii="Aptos" w:cs="Aptos" w:eastAsia="Aptos" w:hAnsi="Aptos"/>
                <w:b w:val="false"/>
                <w:bCs w:val="false"/>
                <w:i w:val="false"/>
                <w:iCs w:val="false"/>
                <w:sz w:val="24"/>
                <w:szCs w:val="24"/>
              </w:rPr>
              <w:t xml:space="preserve"> (bold) = required field   ·   </w:t>
            </w:r>
            <w:r>
              <w:rPr>
                <w:rFonts w:ascii="Aptos" w:cs="Aptos" w:eastAsia="Aptos" w:hAnsi="Aptos"/>
                <w:b w:val="false"/>
                <w:bCs w:val="false"/>
                <w:i/>
                <w:iCs/>
                <w:color w:val="595959"/>
                <w:sz w:val="24"/>
                <w:szCs w:val="24"/>
              </w:rPr>
              <w:t xml:space="preserve">« »</w:t>
            </w:r>
            <w:r>
              <w:rPr>
                <w:rFonts w:ascii="Aptos" w:cs="Aptos" w:eastAsia="Aptos" w:hAnsi="Aptos"/>
                <w:b w:val="false"/>
                <w:bCs w:val="false"/>
                <w:i w:val="false"/>
                <w:iCs w:val="false"/>
                <w:sz w:val="24"/>
                <w:szCs w:val="24"/>
              </w:rPr>
              <w:t xml:space="preserve"> = guidance to delete.</w:t>
            </w:r>
          </w:p>
          <w:p>
            <w:pPr>
              <w:spacing w:after="140"/>
            </w:pPr>
            <w:r>
              <w:rPr>
                <w:rFonts w:ascii="Aptos" w:cs="Aptos" w:eastAsia="Aptos" w:hAnsi="Aptos"/>
                <w:i/>
                <w:iCs/>
                <w:color w:val="595959"/>
                <w:sz w:val="24"/>
                <w:szCs w:val="24"/>
              </w:rPr>
              <w:t xml:space="preserve">Keep the body director-readable. Push technical detail and contact lists to an appendix. Source Authority, approval signatures, and revision history stay at the foot of the document.</w:t>
            </w:r>
          </w:p>
        </w:tc>
      </w:tr>
    </w:tbl>
    <w:p>
      <w:pPr>
        <w:pStyle w:val="Heading2"/>
        <w:spacing w:after="100" w:before="220"/>
      </w:pPr>
      <w:r>
        <w:rPr>
          <w:rFonts w:ascii="Aptos" w:cs="Aptos" w:eastAsia="Aptos" w:hAnsi="Aptos"/>
          <w:b/>
          <w:bCs/>
          <w:color w:val="1B3A5C"/>
          <w:sz w:val="26"/>
          <w:szCs w:val="26"/>
        </w:rPr>
        <w:t xml:space="preserve">1. Purpose</w:t>
      </w:r>
    </w:p>
    <w:p>
      <w:pPr>
        <w:spacing w:after="140"/>
      </w:pPr>
      <w:r>
        <w:rPr>
          <w:rFonts w:ascii="Aptos" w:cs="Aptos" w:eastAsia="Aptos" w:hAnsi="Aptos"/>
          <w:i/>
          <w:iCs/>
          <w:color w:val="595959"/>
          <w:sz w:val="24"/>
          <w:szCs w:val="24"/>
        </w:rPr>
        <w:t xml:space="preserve">«Two or three sentences: what this policy governs and why the Agency maintains it. Name the outcome, not the activity.»</w:t>
      </w:r>
    </w:p>
    <w:p>
      <w:pPr>
        <w:spacing w:after="120" w:before="0"/>
      </w:pPr>
      <w:r>
        <w:rPr>
          <w:rFonts w:ascii="Aptos" w:cs="Aptos" w:eastAsia="Aptos" w:hAnsi="Aptos"/>
          <w:b w:val="false"/>
          <w:bCs w:val="false"/>
          <w:i w:val="false"/>
          <w:iCs w:val="false"/>
          <w:sz w:val="24"/>
          <w:szCs w:val="24"/>
        </w:rPr>
        <w:t xml:space="preserve">This charter establishes [Agency Name]'s cybersecurity and privacy program and authorizes the resources and authority to run it. It names the program's executive sponsor, designates the cybersecurity and privacy lead, and confirms the [Director / Coordinator]'s authority to direct IT resources, whether county, contracted, or in-house, toward security work. Every other security document the Agency maintains operates under the program this charter establishes.</w:t>
      </w:r>
    </w:p>
    <w:p>
      <w:pPr>
        <w:pStyle w:val="Heading2"/>
        <w:spacing w:after="100" w:before="220"/>
      </w:pPr>
      <w:r>
        <w:rPr>
          <w:rFonts w:ascii="Aptos" w:cs="Aptos" w:eastAsia="Aptos" w:hAnsi="Aptos"/>
          <w:b/>
          <w:bCs/>
          <w:color w:val="1B3A5C"/>
          <w:sz w:val="26"/>
          <w:szCs w:val="26"/>
        </w:rPr>
        <w:t xml:space="preserve">Strategic Objectives</w:t>
      </w:r>
    </w:p>
    <w:p>
      <w:pPr>
        <w:spacing w:after="140"/>
      </w:pPr>
      <w:r>
        <w:rPr>
          <w:rFonts w:ascii="Aptos" w:cs="Aptos" w:eastAsia="Aptos" w:hAnsi="Aptos"/>
          <w:i/>
          <w:iCs/>
          <w:color w:val="595959"/>
          <w:sz w:val="24"/>
          <w:szCs w:val="24"/>
        </w:rPr>
        <w:t xml:space="preserve">«Optional. Charter-level and program policies state objectives here; routine policies delete this section. Three to five outcome statements the program aims to achieve.»</w:t>
      </w:r>
    </w:p>
    <w:p>
      <w:pPr>
        <w:spacing w:after="120" w:before="0"/>
      </w:pPr>
      <w:r>
        <w:rPr>
          <w:rFonts w:ascii="Aptos" w:cs="Aptos" w:eastAsia="Aptos" w:hAnsi="Aptos"/>
          <w:b w:val="false"/>
          <w:bCs w:val="false"/>
          <w:i w:val="false"/>
          <w:iCs w:val="false"/>
          <w:sz w:val="24"/>
          <w:szCs w:val="24"/>
        </w:rPr>
        <w:t xml:space="preserve">Protect 9-1-1 service. Keep call-handling and dispatch available, and protect the systems and data that support them against cyber and physical threats.</w:t>
      </w:r>
    </w:p>
    <w:p>
      <w:pPr>
        <w:spacing w:after="120" w:before="0"/>
      </w:pPr>
      <w:r>
        <w:rPr>
          <w:rFonts w:ascii="Aptos" w:cs="Aptos" w:eastAsia="Aptos" w:hAnsi="Aptos"/>
          <w:b w:val="false"/>
          <w:bCs w:val="false"/>
          <w:i w:val="false"/>
          <w:iCs w:val="false"/>
          <w:sz w:val="24"/>
          <w:szCs w:val="24"/>
        </w:rPr>
        <w:t xml:space="preserve">Meet legal and regulatory obligations. Satisfy the CJIS, IDACS, and Indiana cyber-incident and breach requirements that apply to the Agency.</w:t>
      </w:r>
    </w:p>
    <w:p>
      <w:pPr>
        <w:spacing w:after="120" w:before="0"/>
      </w:pPr>
      <w:r>
        <w:rPr>
          <w:rFonts w:ascii="Aptos" w:cs="Aptos" w:eastAsia="Aptos" w:hAnsi="Aptos"/>
          <w:b w:val="false"/>
          <w:bCs w:val="false"/>
          <w:i w:val="false"/>
          <w:iCs w:val="false"/>
          <w:sz w:val="24"/>
          <w:szCs w:val="24"/>
        </w:rPr>
        <w:t xml:space="preserve">Manage risk deliberately. Identify, score, and treat risk to mission-critical systems on a set cadence, within the Agency's stated risk appetite.</w:t>
      </w:r>
    </w:p>
    <w:p>
      <w:pPr>
        <w:spacing w:after="120" w:before="0"/>
      </w:pPr>
      <w:r>
        <w:rPr>
          <w:rFonts w:ascii="Aptos" w:cs="Aptos" w:eastAsia="Aptos" w:hAnsi="Aptos"/>
          <w:b w:val="false"/>
          <w:bCs w:val="false"/>
          <w:i w:val="false"/>
          <w:iCs w:val="false"/>
          <w:sz w:val="24"/>
          <w:szCs w:val="24"/>
        </w:rPr>
        <w:t xml:space="preserve">Build a security-aware workforce. Train personnel to recognize and report threats, and hold them accountable for protecting credentials and data.</w:t>
      </w:r>
    </w:p>
    <w:p>
      <w:pPr>
        <w:pStyle w:val="Heading2"/>
        <w:spacing w:after="100" w:before="220"/>
      </w:pPr>
      <w:r>
        <w:rPr>
          <w:rFonts w:ascii="Aptos" w:cs="Aptos" w:eastAsia="Aptos" w:hAnsi="Aptos"/>
          <w:b/>
          <w:bCs/>
          <w:color w:val="1B3A5C"/>
          <w:sz w:val="26"/>
          <w:szCs w:val="26"/>
        </w:rPr>
        <w:t xml:space="preserve">2. Scope</w:t>
      </w:r>
    </w:p>
    <w:p>
      <w:pPr>
        <w:spacing w:after="140"/>
      </w:pPr>
      <w:r>
        <w:rPr>
          <w:rFonts w:ascii="Aptos" w:cs="Aptos" w:eastAsia="Aptos" w:hAnsi="Aptos"/>
          <w:i/>
          <w:iCs/>
          <w:color w:val="595959"/>
          <w:sz w:val="24"/>
          <w:szCs w:val="24"/>
        </w:rPr>
        <w:t xml:space="preserve">«Who and what the policy covers, and what it excludes. State exclusions explicitly.»</w:t>
      </w:r>
    </w:p>
    <w:p>
      <w:pPr>
        <w:pStyle w:val="ListParagraph"/>
        <w:numPr>
          <w:ilvl w:val="0"/>
          <w:numId w:val="2"/>
        </w:numPr>
        <w:spacing w:after="60"/>
      </w:pPr>
      <w:r>
        <w:rPr>
          <w:rFonts w:ascii="Aptos" w:cs="Aptos" w:eastAsia="Aptos" w:hAnsi="Aptos"/>
          <w:b w:val="false"/>
          <w:bCs w:val="false"/>
          <w:i w:val="false"/>
          <w:iCs w:val="false"/>
          <w:sz w:val="24"/>
          <w:szCs w:val="24"/>
        </w:rPr>
        <w:t xml:space="preserve">Applies to: all Agency personnel and leadership, and any county, contracted, or in-house IT staff and vendors who support the Agency's systems.</w:t>
      </w:r>
    </w:p>
    <w:p>
      <w:pPr>
        <w:pStyle w:val="ListParagraph"/>
        <w:numPr>
          <w:ilvl w:val="0"/>
          <w:numId w:val="2"/>
        </w:numPr>
        <w:spacing w:after="60"/>
      </w:pPr>
      <w:r>
        <w:rPr>
          <w:rFonts w:ascii="Aptos" w:cs="Aptos" w:eastAsia="Aptos" w:hAnsi="Aptos"/>
          <w:b w:val="false"/>
          <w:bCs w:val="false"/>
          <w:i w:val="false"/>
          <w:iCs w:val="false"/>
          <w:sz w:val="24"/>
          <w:szCs w:val="24"/>
        </w:rPr>
        <w:t xml:space="preserve">Covers: the cybersecurity and privacy program as a whole, its governance, the authority to direct resources, and the designation of the cybersecurity and privacy lead. The program governs all systems and data used to receive, process, and dispatch 9-1-1 calls.</w:t>
      </w:r>
    </w:p>
    <w:p>
      <w:pPr>
        <w:pStyle w:val="ListParagraph"/>
        <w:numPr>
          <w:ilvl w:val="0"/>
          <w:numId w:val="2"/>
        </w:numPr>
        <w:spacing w:after="60"/>
      </w:pPr>
      <w:r>
        <w:rPr>
          <w:rFonts w:ascii="Aptos" w:cs="Aptos" w:eastAsia="Aptos" w:hAnsi="Aptos"/>
          <w:b w:val="false"/>
          <w:bCs w:val="false"/>
          <w:i w:val="false"/>
          <w:iCs w:val="false"/>
          <w:sz w:val="24"/>
          <w:szCs w:val="24"/>
        </w:rPr>
        <w:t xml:space="preserve">Excludes: the day-to-day technical controls and procedures, which are set in the documents issued under this charter. [Add exclusions if any; if none, write “None.”]</w:t>
      </w:r>
    </w:p>
    <w:p>
      <w:pPr>
        <w:pStyle w:val="Heading2"/>
        <w:spacing w:after="100" w:before="220"/>
      </w:pPr>
      <w:r>
        <w:rPr>
          <w:rFonts w:ascii="Aptos" w:cs="Aptos" w:eastAsia="Aptos" w:hAnsi="Aptos"/>
          <w:b/>
          <w:bCs/>
          <w:color w:val="1B3A5C"/>
          <w:sz w:val="26"/>
          <w:szCs w:val="26"/>
        </w:rPr>
        <w:t xml:space="preserve">3. Definitions</w:t>
      </w:r>
    </w:p>
    <w:p>
      <w:pPr>
        <w:spacing w:after="140"/>
      </w:pPr>
      <w:r>
        <w:rPr>
          <w:rFonts w:ascii="Aptos" w:cs="Aptos" w:eastAsia="Aptos" w:hAnsi="Aptos"/>
          <w:i/>
          <w:iCs/>
          <w:color w:val="595959"/>
          <w:sz w:val="24"/>
          <w:szCs w:val="24"/>
        </w:rPr>
        <w:t xml:space="preserve">«Optional. Include only terms this policy uses with a narrower meaning than common usage. Do not define common operational terms (CAD, RMS, ESInet, dispatcher). Delete this section if not needed.»</w:t>
      </w:r>
    </w:p>
    <w:p>
      <w:pPr>
        <w:spacing w:after="120" w:before="0"/>
      </w:pPr>
      <w:r>
        <w:rPr>
          <w:rFonts w:ascii="Aptos" w:cs="Aptos" w:eastAsia="Aptos" w:hAnsi="Aptos"/>
          <w:b w:val="false"/>
          <w:bCs w:val="false"/>
          <w:i w:val="false"/>
          <w:iCs w:val="false"/>
          <w:sz w:val="24"/>
          <w:szCs w:val="24"/>
        </w:rPr>
        <w:t xml:space="preserve">Designated Cybersecurity and Privacy Lead: the individual the [Director / Coordinator] appoints to coordinate the Agency's cybersecurity and privacy program. Named in Roles &amp; Responsibilities below.</w:t>
      </w:r>
    </w:p>
    <w:p>
      <w:pPr>
        <w:pStyle w:val="Heading2"/>
        <w:spacing w:after="100" w:before="220"/>
      </w:pPr>
      <w:r>
        <w:rPr>
          <w:rFonts w:ascii="Aptos" w:cs="Aptos" w:eastAsia="Aptos" w:hAnsi="Aptos"/>
          <w:b/>
          <w:bCs/>
          <w:color w:val="1B3A5C"/>
          <w:sz w:val="26"/>
          <w:szCs w:val="26"/>
        </w:rPr>
        <w:t xml:space="preserve">4. Policy Statement</w:t>
      </w:r>
    </w:p>
    <w:p>
      <w:pPr>
        <w:spacing w:after="140"/>
      </w:pPr>
      <w:r>
        <w:rPr>
          <w:rFonts w:ascii="Aptos" w:cs="Aptos" w:eastAsia="Aptos" w:hAnsi="Aptos"/>
          <w:i/>
          <w:iCs/>
          <w:color w:val="595959"/>
          <w:sz w:val="24"/>
          <w:szCs w:val="24"/>
        </w:rPr>
        <w:t xml:space="preserve">«The enforceable core, as numbered statements. Use “The Agency shall…” / “Personnel are responsible for…”. One requirement per statement.»</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establishes a cybersecurity and privacy program under the authority of [authorizing official / title], and maintains it as an ongoing function, not a one-time project.</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designates a Cybersecurity and Privacy Lead, named in Roles &amp; Responsibilities, who coordinates the program and serves as the Agency's primary cybersecurity point of contact.</w:t>
      </w:r>
    </w:p>
    <w:p>
      <w:pPr>
        <w:pStyle w:val="ListParagraph"/>
        <w:numPr>
          <w:ilvl w:val="0"/>
          <w:numId w:val="3"/>
        </w:numPr>
        <w:spacing w:after="60"/>
      </w:pPr>
      <w:r>
        <w:rPr>
          <w:rFonts w:ascii="Aptos" w:cs="Aptos" w:eastAsia="Aptos" w:hAnsi="Aptos"/>
          <w:b w:val="false"/>
          <w:bCs w:val="false"/>
          <w:i w:val="false"/>
          <w:iCs w:val="false"/>
          <w:sz w:val="24"/>
          <w:szCs w:val="24"/>
        </w:rPr>
        <w:t xml:space="preserve">The [Director / Coordinator] holds the authority to direct IT resources, whether county, contracted, or in-house, toward the security work this program requires.</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commits the resources recorded in Committed Resources and tracks them in the Cybersecurity Budget &amp; Resource Allocation Record.</w:t>
      </w:r>
    </w:p>
    <w:p>
      <w:pPr>
        <w:pStyle w:val="ListParagraph"/>
        <w:numPr>
          <w:ilvl w:val="0"/>
          <w:numId w:val="3"/>
        </w:numPr>
        <w:spacing w:after="60"/>
      </w:pPr>
      <w:r>
        <w:rPr>
          <w:rFonts w:ascii="Aptos" w:cs="Aptos" w:eastAsia="Aptos" w:hAnsi="Aptos"/>
          <w:b w:val="false"/>
          <w:bCs w:val="false"/>
          <w:i w:val="false"/>
          <w:iCs w:val="false"/>
          <w:sz w:val="24"/>
          <w:szCs w:val="24"/>
        </w:rPr>
        <w:t xml:space="preserve">Leadership reviews the program and the threats facing it on a set cadence, recorded in the Leadership Security Review Meeting Minutes.</w:t>
      </w:r>
    </w:p>
    <w:p>
      <w:pPr>
        <w:pStyle w:val="ListParagraph"/>
        <w:numPr>
          <w:ilvl w:val="0"/>
          <w:numId w:val="3"/>
        </w:numPr>
        <w:spacing w:after="60"/>
      </w:pPr>
      <w:r>
        <w:rPr>
          <w:rFonts w:ascii="Aptos" w:cs="Aptos" w:eastAsia="Aptos" w:hAnsi="Aptos"/>
          <w:b w:val="false"/>
          <w:bCs w:val="false"/>
          <w:i w:val="false"/>
          <w:iCs w:val="false"/>
          <w:sz w:val="24"/>
          <w:szCs w:val="24"/>
        </w:rPr>
        <w:t xml:space="preserve">The program operates within the risk appetite set in the Risk Management Methodology Standard.</w:t>
      </w:r>
    </w:p>
    <w:p>
      <w:pPr>
        <w:pStyle w:val="Heading2"/>
        <w:spacing w:after="100" w:before="220"/>
      </w:pPr>
      <w:r>
        <w:rPr>
          <w:rFonts w:ascii="Aptos" w:cs="Aptos" w:eastAsia="Aptos" w:hAnsi="Aptos"/>
          <w:b/>
          <w:bCs/>
          <w:color w:val="1B3A5C"/>
          <w:sz w:val="26"/>
          <w:szCs w:val="26"/>
        </w:rPr>
        <w:t xml:space="preserve">5. Roles &amp; Responsibilities</w:t>
      </w:r>
    </w:p>
    <w:p>
      <w:pPr>
        <w:spacing w:after="140"/>
      </w:pPr>
      <w:r>
        <w:rPr>
          <w:rFonts w:ascii="Aptos" w:cs="Aptos" w:eastAsia="Aptos" w:hAnsi="Aptos"/>
          <w:i/>
          <w:iCs/>
          <w:color w:val="595959"/>
          <w:sz w:val="24"/>
          <w:szCs w:val="24"/>
        </w:rPr>
        <w:t xml:space="preserve">«Each role that carries a duty under this policy and what it owns. Roles, not names. One exception: where an assessment requires a named designee, such as the cybersecurity and privacy lead named in a charter, name that person and title here, and revise the document when they change.»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Designated Cybersecurity &amp; Privacy Lead: [Full Name], [Title]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Coordinates the cybersecurity and privacy program, maintains the security document set, and is the Agency's primary cybersecurity point of contact. A specific person is named here by design; revise this charter when the appointee changes.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 / Coordinator]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Sponsors and owns the program, authorizes resources, and directs IT toward security work. Approves this charter.</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support (county / vendor / in-house)]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Carries out the technical security work the program directs, under the IT Support Accountability Agreement.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[Dispatch supervisor]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Reinforces the program on shift and ensures staff meet training and reporting expectations.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Follow the program's policies and procedures, protect credentials and data, and report suspected incidents.</w:t>
            </w:r>
          </w:p>
        </w:tc>
      </w:tr>
    </w:tbl>
    <w:p>
      <w:pPr>
        <w:pStyle w:val="Heading2"/>
        <w:spacing w:after="100" w:before="220"/>
      </w:pPr>
      <w:r>
        <w:rPr>
          <w:rFonts w:ascii="Aptos" w:cs="Aptos" w:eastAsia="Aptos" w:hAnsi="Aptos"/>
          <w:b/>
          <w:bCs/>
          <w:color w:val="1B3A5C"/>
          <w:sz w:val="26"/>
          <w:szCs w:val="26"/>
        </w:rPr>
        <w:t xml:space="preserve">Committed Resources</w:t>
      </w:r>
    </w:p>
    <w:p>
      <w:pPr>
        <w:spacing w:after="140"/>
      </w:pPr>
      <w:r>
        <w:rPr>
          <w:rFonts w:ascii="Aptos" w:cs="Aptos" w:eastAsia="Aptos" w:hAnsi="Aptos"/>
          <w:i/>
          <w:iCs/>
          <w:color w:val="595959"/>
          <w:sz w:val="24"/>
          <w:szCs w:val="24"/>
        </w:rPr>
        <w:t xml:space="preserve">«Optional. Use where the policy commits budget, staffing, or tooling, such as a charter. State what leadership commits; the dated detail lives in the Cybersecurity Budget &amp; Resource Allocation Record. Delete for routine policies.»</w:t>
      </w:r>
    </w:p>
    <w:p>
      <w:pPr>
        <w:spacing w:after="120" w:before="0"/>
      </w:pPr>
      <w:r>
        <w:rPr>
          <w:rFonts w:ascii="Aptos" w:cs="Aptos" w:eastAsia="Aptos" w:hAnsi="Aptos"/>
          <w:b w:val="false"/>
          <w:bCs w:val="false"/>
          <w:i w:val="false"/>
          <w:iCs w:val="false"/>
          <w:sz w:val="24"/>
          <w:szCs w:val="24"/>
        </w:rPr>
        <w:t xml:space="preserve">Leadership commits a dedicated cybersecurity budget line, the staffing or assigned time for the Designated Cybersecurity and Privacy Lead, and funding for the tools and training the program requires. The amounts, staffing, and funding sources are recorded and tracked each cycle in the Cybersecurity Budget &amp; Resource Allocation Record. [State the committed budget line or allocation, or reference where it is set.]</w:t>
      </w:r>
    </w:p>
    <w:p>
      <w:pPr>
        <w:pStyle w:val="Heading2"/>
        <w:spacing w:after="100" w:before="220"/>
      </w:pPr>
      <w:r>
        <w:rPr>
          <w:rFonts w:ascii="Aptos" w:cs="Aptos" w:eastAsia="Aptos" w:hAnsi="Aptos"/>
          <w:b/>
          <w:bCs/>
          <w:color w:val="1B3A5C"/>
          <w:sz w:val="26"/>
          <w:szCs w:val="26"/>
        </w:rPr>
        <w:t xml:space="preserve">6. Enforcement</w:t>
      </w:r>
    </w:p>
    <w:p>
      <w:pPr>
        <w:spacing w:after="140"/>
      </w:pPr>
      <w:r>
        <w:rPr>
          <w:rFonts w:ascii="Aptos" w:cs="Aptos" w:eastAsia="Aptos" w:hAnsi="Aptos"/>
          <w:i/>
          <w:iCs/>
          <w:color w:val="595959"/>
          <w:sz w:val="24"/>
          <w:szCs w:val="24"/>
        </w:rPr>
        <w:t xml:space="preserve">«How compliance is monitored and what happens on violation. Reference the Agency’s corrective process; do not restate it.»</w:t>
      </w:r>
    </w:p>
    <w:p>
      <w:pPr>
        <w:spacing w:after="120" w:before="0"/>
      </w:pPr>
      <w:r>
        <w:rPr>
          <w:rFonts w:ascii="Aptos" w:cs="Aptos" w:eastAsia="Aptos" w:hAnsi="Aptos"/>
          <w:b w:val="false"/>
          <w:bCs w:val="false"/>
          <w:i w:val="false"/>
          <w:iCs w:val="false"/>
          <w:sz w:val="24"/>
          <w:szCs w:val="24"/>
        </w:rPr>
        <w:t xml:space="preserve">The [Director / Coordinator] oversees the program and this charter. Failure to carry out an assigned program responsibility is handled under the Agency's [personnel / corrective-action process]. Authority granted by this charter does not lapse on personnel change; it transfers with the role.</w:t>
      </w:r>
    </w:p>
    <w:p>
      <w:pPr>
        <w:pStyle w:val="Heading2"/>
        <w:spacing w:after="100" w:before="220"/>
      </w:pPr>
      <w:r>
        <w:rPr>
          <w:rFonts w:ascii="Aptos" w:cs="Aptos" w:eastAsia="Aptos" w:hAnsi="Aptos"/>
          <w:b/>
          <w:bCs/>
          <w:color w:val="1B3A5C"/>
          <w:sz w:val="26"/>
          <w:szCs w:val="26"/>
        </w:rPr>
        <w:t xml:space="preserve">7. Exceptions</w:t>
      </w:r>
    </w:p>
    <w:p>
      <w:pPr>
        <w:spacing w:after="140"/>
      </w:pPr>
      <w:r>
        <w:rPr>
          <w:rFonts w:ascii="Aptos" w:cs="Aptos" w:eastAsia="Aptos" w:hAnsi="Aptos"/>
          <w:i/>
          <w:iCs/>
          <w:color w:val="595959"/>
          <w:sz w:val="24"/>
          <w:szCs w:val="24"/>
        </w:rPr>
        <w:t xml:space="preserve">«Who may grant an exception, how it is requested and recorded, and how long it lasts before review.»</w:t>
      </w:r>
    </w:p>
    <w:p>
      <w:pPr>
        <w:spacing w:after="120" w:before="0"/>
      </w:pPr>
      <w:r>
        <w:rPr>
          <w:rFonts w:ascii="Aptos" w:cs="Aptos" w:eastAsia="Aptos" w:hAnsi="Aptos"/>
          <w:b w:val="false"/>
          <w:bCs w:val="false"/>
          <w:i w:val="false"/>
          <w:iCs w:val="false"/>
          <w:sz w:val="24"/>
          <w:szCs w:val="24"/>
        </w:rPr>
        <w:t xml:space="preserve">This charter sets the program's authority and grants no standing exceptions. Any change to the program's scope, authority, or designated lead is made by revising this charter with the written approval of [authorizing official / title].</w:t>
      </w:r>
    </w:p>
    <w:p>
      <w:pPr>
        <w:pStyle w:val="Heading2"/>
        <w:spacing w:after="100" w:before="220"/>
      </w:pPr>
      <w:r>
        <w:rPr>
          <w:rFonts w:ascii="Aptos" w:cs="Aptos" w:eastAsia="Aptos" w:hAnsi="Aptos"/>
          <w:b/>
          <w:bCs/>
          <w:color w:val="1B3A5C"/>
          <w:sz w:val="26"/>
          <w:szCs w:val="26"/>
        </w:rPr>
        <w:t xml:space="preserve">8. Review Schedule</w:t>
      </w:r>
    </w:p>
    <w:p>
      <w:pPr>
        <w:spacing w:after="140"/>
      </w:pPr>
      <w:r>
        <w:rPr>
          <w:rFonts w:ascii="Aptos" w:cs="Aptos" w:eastAsia="Aptos" w:hAnsi="Aptos"/>
          <w:i/>
          <w:iCs/>
          <w:color w:val="595959"/>
          <w:sz w:val="24"/>
          <w:szCs w:val="24"/>
        </w:rPr>
        <w:t xml:space="preserve">«Review cadence and trigger events (annual at minimum; also on significant change). Name the owning role.»</w:t>
      </w:r>
    </w:p>
    <w:p>
      <w:pPr>
        <w:spacing w:after="120" w:before="0"/>
      </w:pPr>
      <w:r>
        <w:rPr>
          <w:rFonts w:ascii="Aptos" w:cs="Aptos" w:eastAsia="Aptos" w:hAnsi="Aptos"/>
          <w:b w:val="false"/>
          <w:bCs w:val="false"/>
          <w:i w:val="false"/>
          <w:iCs w:val="false"/>
          <w:sz w:val="24"/>
          <w:szCs w:val="24"/>
        </w:rPr>
        <w:t xml:space="preserve">This charter is reviewed at least annually and whenever the program's sponsor, designated lead, or scope changes, by the [Director / Coordinator]. Because it names a specific individual as the Designated Cybersecurity and Privacy Lead, it is revised when that person changes; a stale designation is a finding.</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The director is usually both the sponsor and the designated lead, and signs in both roles. County or vendor IT carries out the technical work under the IT Support Accountability Agreement. An annual review is enough; revisit after any incident or staffing change.</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Name a security coordinator as the designated lead, separate from the director who sponsors the program. Tie the committed budget line to the county's cycle. Review the charter when the coordinator or sponsor changes.</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The charter sits at the top of a formal program. A dedicated or part-time security role holds the designation, leadership reviews the program on a set schedule, and the committed resources are managed as a standing budget line.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 xml:space="preserve">NENA-STA-040.2-2024: §4.1.1, §4.1.2</w:t>
            </w:r>
          </w:p>
          <w:p>
            <w:pPr>
              <w:spacing w:after="40" w:before="0"/>
            </w:pPr>
            <w:r>
              <w:rPr>
                <w:rFonts w:ascii="Aptos" w:cs="Aptos" w:eastAsia="Aptos" w:hAnsi="Aptos"/>
                <w:b w:val="false"/>
                <w:bCs w:val="false"/>
                <w:i w:val="false"/>
                <w:iCs w:val="false"/>
                <w:sz w:val="24"/>
                <w:szCs w:val="24"/>
              </w:rPr>
              <w:t xml:space="preserve">NIST SP 800-53 Rev. 5: PM-1, PM-2, PM-3, PM-11</w:t>
            </w:r>
          </w:p>
          <w:p>
            <w:pPr>
              <w:spacing w:after="40" w:before="0"/>
            </w:pPr>
            <w:r>
              <w:rPr>
                <w:rFonts w:ascii="Aptos" w:cs="Aptos" w:eastAsia="Aptos" w:hAnsi="Aptos"/>
                <w:b w:val="false"/>
                <w:bCs w:val="false"/>
                <w:i w:val="false"/>
                <w:iCs w:val="false"/>
                <w:sz w:val="24"/>
                <w:szCs w:val="24"/>
              </w:rPr>
              <w:t xml:space="preserve">Indiana statutes and administrative code: HEA 1169 (2021) — designate and annually update the cyber incident reporting contact</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[Authorizing official / title]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 / Coordinator]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[Date]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Drafter’s note </w:t>
            </w:r>
            <w:r>
              <w:rPr>
                <w:rFonts w:ascii="Aptos" w:cs="Aptos" w:eastAsia="Aptos" w:hAnsi="Aptos"/>
                <w:b w:val="false"/>
                <w:bCs w:val="false"/>
                <w:i/>
                <w:iCs/>
                <w:color w:val="595959"/>
                <w:sz w:val="24"/>
                <w:szCs w:val="24"/>
              </w:rPr>
              <w:t xml:space="preserve">(internal, delete before publishing)</w:t>
            </w:r>
          </w:p>
          <w:p>
            <w:pPr>
              <w:spacing w:after="140"/>
            </w:pPr>
            <w:r>
              <w:rPr>
                <w:rFonts w:ascii="Aptos" w:cs="Aptos" w:eastAsia="Aptos" w:hAnsi="Aptos"/>
                <w:i/>
                <w:iCs/>
                <w:color w:val="595959"/>
                <w:sz w:val="24"/>
                <w:szCs w:val="24"/>
              </w:rPr>
              <w:t xml:space="preserve">A-001 names a specific individual as the Designated Cybersecurity and Privacy Lead. This is the one named-person field in the form (the project's role-not-name exception). The PSAP fills [Full Name] and [Title] and revises the charter when that person changes. Cross-referenced artifacts use their Tracker names: Cybersecurity Budget &amp; Resource Allocation Record, Leadership Security Review Meeting Minutes, Risk Management Methodology Standard, IT Support Accountability Agreement. Confirm the NENA-STA-040.2-2024 sections (§4.1.1 Senior Management, §4.1.2 Policies) against the standard in force. Agency-supplied values left in brackets: [Agency Name], authorizing official, designated lead name and title, version, effective and review dates, and the committed budget line.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