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this record. Your agency may raise this but not lower it. Raise to Confidential when entries name individuals or carry PII.»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template is ready to adopt. Replace every [BRACKETED] field per meeting,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line each. This is the recurring leadership security review. Record when and where it met and the cadence it follows.»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[start] to [end]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[room / video bridge]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[e.g., Quarterly Leadership Security Review]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«List everyone present and their role. Names are expected here; this is a record, not a brand-free policy. Mark absences.»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[name]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/ title]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[Y/N]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[name]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/ title]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[Y/N]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[name]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/ title]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[Y/N]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leadership reviewed. Keep each line short; attach detail rather than restating it.»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[summary of where the program stands].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[key metrics and trend since last review].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[top risks and any change in priority].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[emerging threats or intelligence briefed to leadership].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decision leadership made and the priorities set for the next period. One per line.»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[decision or priority].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[decision or priority].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action, the role that owns it, and when it is due. Mirror items that carry risk into the Risk / Finding Register (POA&amp;M).»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[Open]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«Date and focus of the next scheduled review.»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[date]. Focus: [topic].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«State how long these minutes are retained and where, per the Document Handling Standard.»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[period], stored [location].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 —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[Recorded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[Chair / presiding official]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record evidences that senior leaders review the program and emerging threats on a set cadence (satisfies assessment question 1A-3). Names are expected in the Attendees and Sign-off blocks; classified Restricted, raised to Confidential if minutes capture PII or sensitive incident detail. Cross-referenced artifacts use their Tracker names: Risk / Finding Register (POA&amp;M), Threat Intelligence Routing &amp; Distribution Matrix, Board / Leadership Security Reporting Template. Confirm the NENA-STA-040.2-2024 section (§4.1.1) against the standard in force.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