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Procedure artifacts. Raise to Restricted when the procedure encodes defensive logic, isolation steps, or evidence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b w:val="false"/>
          <w:bCs w:val="false"/>
          <w:i w:val="false"/>
          <w:iCs w:val="false"/>
          <w:sz w:val="24"/>
          <w:szCs w:val="24"/>
        </w:rPr>
        <w:t xml:space="preserve">This procedure is the repeatable method [Agency Name]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 Coordinator]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[Other exclusions, if any.]</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dispatch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 / Coordinator].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and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 / Coordinator].</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Created 2026-06-03 as the SOP half of the former Risk Management Methodology Document. Implements the Risk Management Methodology Standard (A-032) and produces the Risk Assessment Report (A-008). Satisfies assessment questions 1D-3 and the risk-assessment item in 1C-5. Cross-referenced artifacts use their Tracker names. Confirm the NENA-STA-040.2-2024 sections (§4.2.1, §4.3.1) against the standard in force. Agency-supplied values left in brackets: [Agency Name], owner role, version and dates, and the assessment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