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personnel and authorized contractors may use the center’s systems, networks, and data. It states the conduct expected of every user and the conditions of access. Signing this policy is a condition of being granted access to any Hickory County 911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Hickory County 911 personnel, including the three full-time and two part-time dispatchers and the Director, and the county IT technician and the CAD and ESInet vendor staff who hold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call-handling system, CAD, the ESInet connection, the logging and recording system, and the dispatch and administrative workstations, including any personal device authorized to connect to center systems. Because the center is co-located with the Sheriff’s Office, it covers use of the shared network and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Hickory County 911.</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account credentials, do not share passwords or their IDACS sign-on, and report a suspected compromise to the Director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the administrative workstation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Director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county VPN,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Hickory County 911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Hickory County 911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the administrative workstation, and the county VPN. The consoles and the VPN record each sign-on. The call-handling vendor’s banner cannot capture a separate acknowledgment, so the Director records on the signed acknowledgment that each user has read the notice.</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the Director enables an account, signs again each year, and signs again whenever the policy changes. County IT does not enable an account until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collects signed acknowledgments, and confirms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Director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 to the 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Director monitors compliance through the console and VPN logs, banner sign-ons, and shift observation. A violation is handled under the county’s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and reviews open exceptions each year. One exception is on file: the administrative workstation is approved for limited personal use on breaks.</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at the co-located Sheriff’s Office. Hickory County 911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