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System Security Plans (per critical system)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 Security Plan documents one critical 9-1-1 system: what it is, how important it is, how it connects to and exchanges data with other systems, and the security controls in place on it. It is an as-built record, not a policy. Complete one plan per critical system. The governing documents are the Cybersecurity &amp; Privacy Policy and the Risk Management Methodology Standard; this record implements them for a single system.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System name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Computer-Aided Dispatch (CAD)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Environment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Production (active-active across two centers)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Location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Primary and secondary 911 centers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Asset ID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TRR-CAD-01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Vendor / product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center's CAD vendor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Connectivity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Redundant NG911 ESInet, the state message switch via IDACS, and integrations with RMS, GIS, video, and ALI; detailed below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System Categorization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system's criticality and data sensitivity set the level of protection it requires. The values below are carried from the Agency's ranking and classification work, not decided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Criticality tier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Integrity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Availability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Data sensitivity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Restricted; CJIS-regulated data in scope via IDACS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Categorization date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Interconnections &amp; Data Exchange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section records how the system connects and what data crosses each connection. A connection is not authorized until it is approved and listed here. Summarize external connections that also appear in the External Connection Inventory; record remote-device connections in the Authorized Remote Device Register and reference them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Connected system / party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Direction &amp; data exchanged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Protocol / port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Connection type (incl. P2P)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by (role) / 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NG911 ESInet (redundant)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 — 9-1-1 call data (ANI/ALI, multimedia)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i3 interfaces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State message switch (IDACS)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 — NCIC/IDACS queries and responses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IDACS-approved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state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Records Management System (RMS)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 — incident and unit data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 / LAN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Inter-agency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GIS / mapping service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 — map and location data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 / ALI database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 — location queries and event logs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 / LAN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Controls in 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 area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Implementation status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Access control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Role-based access enforced; dedicated IT provisions; security analyst reviews monthly (Access Control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Centralized SIEM; continuous monitoring by the security analyst (Logging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Endpoint protection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Managed EDR on all workstations and servers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Replicated across both centers; restoration tested quarterly (Backup Policy)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Control Baseline &amp;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Deviation?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administrative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Limited to the dedicated IT team and the security analyst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Cross-center replication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Active-active, encrypted in transit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Validation &amp;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Validated against the system's controls and the governing policies after each risk review and at least annually, by the Executive Director. Each change is recorded in the Change History below.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§4.2.2, §5.4,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CA-3, CM-2, CM-8, PL-2, PL-8, PM-5,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 (where the system connects to 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§5.1 (Information Exchange Agreements; where CJIS-regulated data is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