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[Agency name], {directorName}</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[IT provider — county IT / contractor / in-house], [role / title]</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{version}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{effectiveDate}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 xml:space="preserve">{effectiveDate}</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r>
              <w:rPr>
                <w:rFonts w:ascii="Aptos" w:cs="Aptos" w:eastAsia="Aptos" w:hAnsi="Aptos"/>
                <w:i/>
                <w:iCs/>
                <w:color w:val="595959"/>
                <w:sz w:val="24"/>
                <w:szCs w:val="24"/>
              </w:rPr>
              <w:t>«Minimum for this Agreement. Raise to Confidential for signed copies that carry named-party contact data.»</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How to use this template </w:t>
            </w:r>
            <w:r>
              <w:rPr>
                <w:rFonts w:ascii="Aptos" w:cs="Aptos" w:eastAsia="Aptos" w:hAnsi="Aptos"/>
                <w:b w:val="false"/>
                <w:bCs w:val="false"/>
                <w:i/>
                <w:iCs/>
                <w:color w:val="595959"/>
                <w:sz w:val="24"/>
                <w:szCs w:val="24"/>
              </w:rPr>
              <w:t xml:space="preserve">(delete this box before publishing)</w:t>
            </w:r>
          </w:p>
          <w:p>
            <w:pPr>
              <w:spacing w:after="140"/>
            </w:pPr>
            <w:r>
              <w:rPr>
                <w:rFonts w:ascii="Aptos" w:cs="Aptos" w:eastAsia="Aptos" w:hAnsi="Aptos"/>
                <w:i/>
                <w:iCs/>
                <w:color w:val="595959"/>
                <w:sz w:val="24"/>
                <w:szCs w:val="24"/>
              </w:rPr>
              <w:t>This agreement records the cybersecurity obligations between the Agency and whoever provides its IT support. Replace every [BRACKETED] field, set real targets in the Service Levels table, follow the « » guidance, and delete every « » note and this box before signing.</w:t>
            </w:r>
          </w:p>
          <w:p>
            <w:pPr>
              <w:spacing w:after="0"/>
            </w:pPr>
            <w:r>
              <w:rPr>
                <w:rFonts w:ascii="Aptos" w:cs="Aptos" w:eastAsia="Aptos" w:hAnsi="Aptos"/>
                <w:b/>
                <w:bCs/>
                <w:i w:val="false"/>
                <w:iCs w:val="false"/>
                <w:sz w:val="24"/>
                <w:szCs w:val="24"/>
              </w:rPr>
              <w:t xml:space="preserve">Placeholder key: </w:t>
            </w:r>
            <w:r>
              <w:rPr>
                <w:rFonts w:ascii="Aptos" w:cs="Aptos" w:eastAsia="Aptos" w:hAnsi="Aptos"/>
                <w:b w:val="false"/>
                <w:bCs w:val="false"/>
                <w:i w:val="false"/>
                <w:iCs w:val="false"/>
                <w:sz w:val="24"/>
                <w:szCs w:val="24"/>
              </w:rPr>
              <w:t xml:space="preserve">[BRACKETED]</w:t>
            </w:r>
            <w:r>
              <w:rPr>
                <w:rFonts w:ascii="Aptos" w:cs="Aptos" w:eastAsia="Aptos" w:hAnsi="Aptos"/>
                <w:b w:val="false"/>
                <w:bCs w:val="false"/>
                <w:i w:val="false"/>
                <w:iCs w:val="false"/>
                <w:sz w:val="24"/>
                <w:szCs w:val="24"/>
              </w:rPr>
              <w:t xml:space="preserve"> = fill in   ·   </w:t>
            </w:r>
            <w:r>
              <w:rPr>
                <w:rFonts w:ascii="Aptos" w:cs="Aptos" w:eastAsia="Aptos" w:hAnsi="Aptos"/>
                <w:b/>
                <w:bCs/>
                <w:i w:val="false"/>
                <w:iCs w:val="false"/>
                <w:sz w:val="24"/>
                <w:szCs w:val="24"/>
              </w:rPr>
              <w:t xml:space="preserve">[REQUIRED]</w:t>
            </w:r>
            <w:r>
              <w:rPr>
                <w:rFonts w:ascii="Aptos" w:cs="Aptos" w:eastAsia="Aptos" w:hAnsi="Aptos"/>
                <w:b w:val="false"/>
                <w:bCs w:val="false"/>
                <w:i w:val="false"/>
                <w:iCs w:val="false"/>
                <w:sz w:val="24"/>
                <w:szCs w:val="24"/>
              </w:rPr>
              <w:t xml:space="preserve"> (bold) = required field   ·   </w:t>
            </w:r>
            <w:r>
              <w:rPr>
                <w:rFonts w:ascii="Aptos" w:cs="Aptos" w:eastAsia="Aptos" w:hAnsi="Aptos"/>
                <w:b w:val="false"/>
                <w:bCs w:val="false"/>
                <w:i/>
                <w:iCs/>
                <w:color w:val="595959"/>
                <w:sz w:val="24"/>
                <w:szCs w:val="24"/>
              </w:rPr>
              <w:t xml:space="preserve">« »</w:t>
            </w:r>
            <w:r>
              <w:rPr>
                <w:rFonts w:ascii="Aptos" w:cs="Aptos" w:eastAsia="Aptos" w:hAnsi="Aptos"/>
                <w:b w:val="false"/>
                <w:bCs w:val="false"/>
                <w:i w:val="false"/>
                <w:iCs w:val="false"/>
                <w:sz w:val="24"/>
                <w:szCs w:val="24"/>
              </w:rPr>
              <w:t xml:space="preserve"> = guidance to delete.</w:t>
            </w:r>
          </w:p>
          <w:p>
            <w:pPr>
              <w:spacing w:after="140"/>
            </w:pPr>
            <w:r>
              <w:rPr>
                <w:rFonts w:ascii="Aptos" w:cs="Aptos" w:eastAsia="Aptos" w:hAnsi="Aptos"/>
                <w:i/>
                <w:iCs/>
                <w:color w:val="595959"/>
                <w:sz w:val="24"/>
                <w:szCs w:val="24"/>
              </w:rPr>
              <w:t>This is the enforcement mechanism behind the Agency's governance. Keep it consistent with the RACI Matrix for Cybersecurity, which assigns who is accountable for each duty named here.</w:t>
            </w:r>
          </w:p>
        </w:tc>
      </w:tr>
    </w:tbl>
    <w:p>
      <w:pPr>
        <w:pStyle w:val="Heading2"/>
        <w:spacing w:after="100" w:before="220"/>
      </w:pPr>
      <w:r>
        <w:rPr>
          <w:rFonts w:ascii="Aptos" w:cs="Aptos" w:eastAsia="Aptos" w:hAnsi="Aptos"/>
          <w:b/>
          <w:bCs/>
          <w:color w:val="1B3A5C"/>
          <w:sz w:val="26"/>
          <w:szCs w:val="26"/>
        </w:rPr>
        <w:t xml:space="preserve">1. Purpose</w:t>
      </w:r>
    </w:p>
    <w:p>
      <w:pPr>
        <w:spacing w:after="140"/>
      </w:pPr>
      <w:r>
        <w:rPr>
          <w:rFonts w:ascii="Aptos" w:cs="Aptos" w:eastAsia="Aptos" w:hAnsi="Aptos"/>
          <w:i/>
          <w:iCs/>
          <w:color w:val="595959"/>
          <w:sz w:val="24"/>
          <w:szCs w:val="24"/>
        </w:rPr>
        <w:t xml:space="preserve">«What this agreement establishes and why the parties enter it. One or two sentences.»</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40"/>
      </w:pPr>
      <w:r>
        <w:rPr>
          <w:rFonts w:ascii="Aptos" w:cs="Aptos" w:eastAsia="Aptos" w:hAnsi="Aptos"/>
          <w:i/>
          <w:iCs/>
          <w:color w:val="595959"/>
          <w:sz w:val="24"/>
          <w:szCs w:val="24"/>
        </w:rPr>
        <w:t>«Define only the terms this agreement measures against. These set the thresholds the parties are held to.»</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spacing w:after="140"/>
      </w:pPr>
      <w:r>
        <w:rPr>
          <w:rFonts w:ascii="Aptos" w:cs="Aptos" w:eastAsia="Aptos" w:hAnsi="Aptos"/>
          <w:i/>
          <w:iCs/>
          <w:color w:val="595959"/>
          <w:sz w:val="24"/>
          <w:szCs w:val="24"/>
        </w:rPr>
        <w:t xml:space="preserve">«The binding obligations, as numbered terms. State which party owns each. Be specific about timing and thresholds.»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[timeframe].</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[timeframe],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p>
      <w:pPr>
        <w:spacing w:after="140"/>
      </w:pPr>
      <w:r>
        <w:rPr>
          <w:rFonts w:ascii="Aptos" w:cs="Aptos" w:eastAsia="Aptos" w:hAnsi="Aptos"/>
          <w:i/>
          <w:iCs/>
          <w:color w:val="595959"/>
          <w:sz w:val="24"/>
          <w:szCs w:val="24"/>
        </w:rPr>
        <w:t>«The measurable targets the provider is held to. Set real numbers; an unmeasured service level is unenforceable.»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30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escalation to provider management]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72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[e.g., 1 business day]</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[how measured]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[remedy]</w:t>
            </w:r>
          </w:p>
        </w:tc>
      </w:tr>
    </w:tbl>
    <w:p>
      <w:pPr>
        <w:pStyle w:val="Heading2"/>
        <w:spacing w:after="100" w:before="220"/>
      </w:pPr>
      <w:r>
        <w:rPr>
          <w:rFonts w:ascii="Aptos" w:cs="Aptos" w:eastAsia="Aptos" w:hAnsi="Aptos"/>
          <w:b/>
          <w:bCs/>
          <w:color w:val="1B3A5C"/>
          <w:sz w:val="26"/>
          <w:szCs w:val="26"/>
        </w:rPr>
        <w:t>5. Points of Contact</w:t>
      </w:r>
    </w:p>
    <w:p>
      <w:pPr>
        <w:spacing w:after="140"/>
      </w:pPr>
      <w:r>
        <w:rPr>
          <w:rFonts w:ascii="Aptos" w:cs="Aptos" w:eastAsia="Aptos" w:hAnsi="Aptos"/>
          <w:i/>
          <w:iCs/>
          <w:color w:val="595959"/>
          <w:sz w:val="24"/>
          <w:szCs w:val="24"/>
        </w:rPr>
        <w:t>«Operational escalation contacts by role, separate from the signatures below. Naming individuals raises a signed copy to Confidential.»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{directorName}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[role]</w:t>
            </w:r>
          </w:p>
        </w:tc>
      </w:tr>
    </w:tbl>
    <w:p>
      <w:pPr>
        <w:pStyle w:val="Heading2"/>
        <w:spacing w:after="100" w:before="220"/>
      </w:pPr>
      <w:r>
        <w:rPr>
          <w:rFonts w:ascii="Aptos" w:cs="Aptos" w:eastAsia="Aptos" w:hAnsi="Aptos"/>
          <w:b/>
          <w:bCs/>
          <w:color w:val="1B3A5C"/>
          <w:sz w:val="26"/>
          <w:szCs w:val="26"/>
        </w:rPr>
        <w:t>6. Signatures</w:t>
      </w:r>
    </w:p>
    <w:p>
      <w:pPr>
        <w:spacing w:after="140"/>
      </w:pPr>
      <w:r>
        <w:rPr>
          <w:rFonts w:ascii="Aptos" w:cs="Aptos" w:eastAsia="Aptos" w:hAnsi="Aptos"/>
          <w:i/>
          <w:iCs/>
          <w:color w:val="595959"/>
          <w:sz w:val="24"/>
          <w:szCs w:val="24"/>
        </w:rPr>
        <w:t xml:space="preserve">«Each party signs and dates. Roles, with named individuals only on the signed copy.»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 A]</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[Party B]</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tc>
      </w:tr>
    </w:tbl>
    <w:p>
      <w:pPr>
        <w:pStyle w:val="Heading2"/>
        <w:spacing w:after="100" w:before="220"/>
      </w:pPr>
      <w:r>
        <w:rPr>
          <w:rFonts w:ascii="Aptos" w:cs="Aptos" w:eastAsia="Aptos" w:hAnsi="Aptos"/>
          <w:b/>
          <w:bCs/>
          <w:color w:val="1B3A5C"/>
          <w:sz w:val="26"/>
          <w:szCs w:val="26"/>
        </w:rPr>
        <w:t>7. Retention</w:t>
      </w:r>
    </w:p>
    <w:p>
      <w:pPr>
        <w:spacing w:after="140"/>
      </w:pPr>
      <w:r>
        <w:rPr>
          <w:rFonts w:ascii="Aptos" w:cs="Aptos" w:eastAsia="Aptos" w:hAnsi="Aptos"/>
          <w:i/>
          <w:iCs/>
          <w:color w:val="595959"/>
          <w:sz w:val="24"/>
          <w:szCs w:val="24"/>
        </w:rPr>
        <w:t xml:space="preserve">«Where the signed original is kept, by whom, and for how long. Align with the Document Handling Standard.»</w:t>
      </w:r>
    </w:p>
    <w:p>
      <w:pPr>
        <w:spacing w:after="120" w:before="0"/>
      </w:pPr>
      <w:r>
        <w:rPr>
          <w:rFonts w:ascii="Aptos" w:cs="Aptos" w:eastAsia="Aptos" w:hAnsi="Aptos"/>
          <w:b w:val="false"/>
          <w:bCs w:val="false"/>
          <w:i w:val="false"/>
          <w:iCs w:val="false"/>
          <w:sz w:val="24"/>
          <w:szCs w:val="24"/>
        </w:rPr>
        <w:t>Retention: the signed original is kept by the {directorName} for the life of the agreement plus [period], stored [location]. Align with the Document Handling Standard.</w:t>
      </w:r>
    </w:p>
    <w:p>
      <w:pPr>
        <w:pStyle w:val="Heading2"/>
        <w:spacing w:after="100" w:before="220"/>
      </w:pPr>
      <w:r>
        <w:rPr>
          <w:rFonts w:ascii="Aptos" w:cs="Aptos" w:eastAsia="Aptos" w:hAnsi="Aptos"/>
          <w:b/>
          <w:bCs/>
          <w:color w:val="1B3A5C"/>
          <w:sz w:val="26"/>
          <w:szCs w:val="26"/>
        </w:rPr>
        <w:t xml:space="preserve">Profile Scaling Notes</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Small (1–5 dispatchers, no in-house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The single most important artifact for a small PSAP: it pins down what county or vendor IT actually owes you. Fill the Service Levels with realistic numbers and name one escalation contact on each side. Review annually.</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Tie the service levels to the county's existing IT ticketing and on-call. The security coordinator tracks misses and raises them at governance review.</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Run this as a formal SLA with reporting. Where IT is in-house, the agreement still records the same obligations between the PSAP and its IT function so accountability is explicit.</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{version}</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{effectiveDate}</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{reviewerRole}</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{revisionNote}</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F4F1E8"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Drafter’s note </w:t>
            </w:r>
            <w:r>
              <w:rPr>
                <w:rFonts w:ascii="Aptos" w:cs="Aptos" w:eastAsia="Aptos" w:hAnsi="Aptos"/>
                <w:b w:val="false"/>
                <w:bCs w:val="false"/>
                <w:i/>
                <w:iCs/>
                <w:color w:val="595959"/>
                <w:sz w:val="24"/>
                <w:szCs w:val="24"/>
              </w:rPr>
              <w:t xml:space="preserve">(internal, delete before publishing)</w:t>
            </w:r>
          </w:p>
          <w:p>
            <w:pPr>
              <w:spacing w:after="140"/>
            </w:pPr>
            <w:r>
              <w:rPr>
                <w:rFonts w:ascii="Aptos" w:cs="Aptos" w:eastAsia="Aptos" w:hAnsi="Aptos"/>
                <w:i/>
                <w:iCs/>
                <w:color w:val="595959"/>
                <w:sz w:val="24"/>
                <w:szCs w:val="24"/>
              </w:rPr>
              <w:t>The Service Levels table ships with example targets in brackets. The Agency and provider set the real numbers; do not leave them as examples.</w:t>
            </w:r>
          </w:p>
          <w:p>
            <w:pPr>
              <w:spacing w:after="140"/>
            </w:pPr>
            <w:r>
              <w:rPr>
                <w:rFonts w:ascii="Aptos" w:cs="Aptos" w:eastAsia="Aptos" w:hAnsi="Aptos"/>
                <w:i/>
                <w:iCs/>
                <w:color w:val="595959"/>
                <w:sz w:val="24"/>
                <w:szCs w:val="24"/>
              </w:rPr>
              <w:t>The CJIS Security Policy line applies only where the provider accesses systems carrying CJIS-regulated data through IDACS. Confirm and, where it applies, append “ / CJIS” to the Classification.</w:t>
            </w:r>
          </w:p>
          <w:p>
            <w:pPr>
              <w:spacing w:after="140"/>
            </w:pPr>
            <w:r>
              <w:rPr>
                <w:rFonts w:ascii="Aptos" w:cs="Aptos" w:eastAsia="Aptos" w:hAnsi="Aptos"/>
                <w:i/>
                <w:iCs/>
                <w:color w:val="595959"/>
                <w:sz w:val="24"/>
                <w:szCs w:val="24"/>
              </w:rPr>
              <w:t>Cross-referenced artifacts use their Tracker names: RACI Matrix for Cybersecurity, Asset Criticality Ranking Matrix, Patch Management Schedule, Document Handling Standard.</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