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Cybersecurity Governance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establishes the governance body that sets cybersecurity and privacy priorities for {agencyName}, oversees the security program, and keeps it aligned with the Agency’s public-safety mission and legal obligations.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Strategic Objectives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Charter-level and program policies state objectives here; routine policies delete this section. Three to five outcome statements the program aims to achieve.»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Protect the confidentiality, integrity, and availability of the systems and data used to receive and dispatch 9-1-1 calls.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the security program aligned with the Agency’s public-safety mission and resourced to match its risks.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Meet the Agency’s legal, regulatory, and CJIS obligations.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Hold a named owner accountable for each part of the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governance body, the executive sponsor, and every role that owns or implements a part of the security program.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program’s priorities, policies, risk decisions, metrics, and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day-to-day technical operations, which the body oversees but does not run.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Governance body: the steering committee or board named in this charter that oversees the Agency’s cybersecurity and privacy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maintain a governance body with the authority to set cybersecurity and privacy priorities and to approve security policies.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shall review security metrics, risk status, and incident reports on a defined cadence.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shall confirm that the security program aligns with the Agency’s public-safety goals and its legal and regulatory requirements.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name an executive sponsor accountable for the program and for the resources it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[Add Agency-specific statements.]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Governance Body: Composition, Cadence &amp; Authority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«Name the seats by role, the chair, how often the body meets, what counts as a quorum, and what it has authority to decide.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Seat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Held by (role)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 / Chair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[senior official, e.g., Agency Director or county liaison]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[the designated lead named in the Cybersecurity Charter]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Operations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[dispatch supervisor or operations lead]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[county or contracted IT lead]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seats as needed]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meets at least [quarterly] and on call after a significant incident. A quorum is [a majority of seats]. The body sets priorities, approves policies, and accepts or escalates risk. A decision it cannot resolve is escalated to [the executive sponsor or the county board]. The meeting cadence and the reports the body reviews are tracked in the Governance Reporting Calendar, and its decisions are recorded in the Leadership Security Review Meeting Minutes.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 One exception: where an assessment requires a named designee, such as the cybersecurity and privacy lead named in a charter, name that person and title here, and revise the document when they change.»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Chairs the governance body, owns the program, and secures the resources it needs.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program day to day and reports status, risk, and incidents to the body.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Governance body members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Set priorities, review metrics and risk, and approve policies.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(county / vendor / in-house)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Implements the body’s decisions and reports technical status.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 policies the body approves.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Committed Resources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Use where the policy commits budget, staffing, or tooling, such as a charter. State what leadership commits; the dated detail lives in the Cybersecurity Budget &amp; Resource Allocation Record. Delete for routine policies.»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{agencyName} commits the budget, staffing, and tooling the program needs to meet its objectives. The dated detail is recorded in the Cybersecurity Budget &amp; Resource Allocation Record.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executive sponsor holds role owners accountable for the duties in this charter. A failure to meet a governance obligation is raised at the next meeting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[The executive sponsor] may approve a temporary change to the body’s composition or cadence, stating the reason and an expiry date,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is reviewed at least annually and after any significant change to the Agency’s structure or mission,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body is enough. The director chairs a short quarterly review with county IT and keeps brief minutes. The director may also be the executive sponsor and the privacy lead; note where one person holds several seats.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standing committee of the director, a security coordinator, and county IT meets quarterly and reports to the county board.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formal steering committee with defined seats, a quorum, and a published calendar oversees the program and reports to executive leadership.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§4.1, §4.1.1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PM-1, PM-2, PM-3, PM-9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executive sponsor role and the body’s seats, quorum, and meeting cadence (Section 5).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escalation path for an unresolved risk decision.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This charter governs the program; precise statutory obligations are carried by the operational policies it oversees, not restated here.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