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Appended “ / CJIS” because access to IDACS-reached systems is in scope.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who may access which systems, under what conditions, and through what approval. Replace every [BRACKETED] field,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It covers human and non-human accounts alike. The Service &amp; Cloud Accounts section is required: leave it in even if the Agency has only a few service accounts today.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[systems owned and operated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{directorName}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[quarterly].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«Required dedicated controls for non-human accounts. Keep this section even if few service accounts exist today.»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[quarterly]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 (county / vendor / in-house)]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[System / data owner]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[All personnel]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{directorName}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{directorName}, must state the access affected and any compensating control, and expire after [period]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Service &amp; Cloud Accounts section satisfies assessment question 2A-6 (a dedicated service/cloud-account policy with owner, purpose, lifespan, privilege scope, and review cadence). Keep it as a named section; do not fold it back into the general statements.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Access Entitlement Matrix, Remote Access Policy, Privileged &amp; Service Account Inventory, and the account provisioning and deprovisioning workflow.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Agency-supplied values left in brackets: review cadences, exception period, and the named approver role.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