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 title]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 “ / CJIS” if the Agency classifies CJIS-regulated data.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the Agency's data classification tiers and what protection each requires. Replace every [BRACKETED] field, complete the classification table,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is the parent for encryption, retention, disposal, and the data map. Keep the tier names aligned to the NENA NG-SEC taxonomy used across the Agency's documents.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[data owned and controlled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Classification: the sensitivity level assigned to a piece of data, which sets the minimum protection it must receive.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[data governance role];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«The Agency's tiers, the data mapped to each, the default label, and the minimum protection. Aligned to the NENA NG-SEC taxonomy; “Public” is not used in this library.»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documents not for public release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Agency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Network and system detail, IR and continuity plans, access rosters, CJIS-regulated data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Staff and incident-subject PII, signed acknowledgments, vetting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[Data governance role]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[IT support]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[All personnel]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{directorName}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{directorName}, must state the data and handling affected, and expire after [period]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the three tiers as written and map your data types in the table. The director owns labeling. A single shared drive with folders per tier is enough to start.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data governance role keeps the mapping current and reviews labels when data is shared with other county departments.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Enforce labels in the systems that support them and tie classification to encryption and retention controls. Review the mapping on a set schedule.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classification table ships with example data-type mappings. The Agency confirms which of its data types fall in each tier.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Tiers align to the NENA NG-SEC taxonomy (Internal, Restricted, Confidential); “Public” is not used in this library.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Asset Criticality Ranking Matrix, Data Access Monitoring Policy, Document Handling Standard, Data Inventory / Data Map, Data Retention Schedule, Secure Disposal Procedures.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