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Logging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{signingOfficialTitle}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{version}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{effectiveDate}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{effectiveDate}</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 title]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Internal</w:t>
            </w:r>
          </w:p>
          <w:p>
            <w:pPr>
              <w:spacing w:after="0"/>
            </w:pPr>
            <w:r>
              <w:rPr>
                <w:rFonts w:ascii="Aptos" w:cs="Aptos" w:eastAsia="Aptos" w:hAnsi="Aptos"/>
                <w:i/>
                <w:iCs/>
                <w:color w:val="595959"/>
                <w:sz w:val="24"/>
                <w:szCs w:val="24"/>
              </w:rPr>
              <w:t xml:space="preserve">«Minimum for Policy artifacts. Your agency may raise this but not lower it. Append “ / CJIS” if CJIS-regulated data is in scope. This Logging Policy stays Internal as a statement of intent and roles. If it is expanded to carry live logging configuration or detection logic, raise it to Restricted; that as-built detail belongs in the system configuration records, not in this policy.»</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«Two or three sentences: what this policy governs and why the Agency maintains it. Name the outcome, not the activity.»</w:t>
      </w:r>
    </w:p>
    <w:p>
      <w:pPr>
        <w:spacing w:after="120" w:before="0"/>
      </w:pPr>
      <w:r>
        <w:rPr>
          <w:rFonts w:ascii="Aptos" w:cs="Aptos" w:eastAsia="Aptos" w:hAnsi="Aptos"/>
          <w:b w:val="false"/>
          <w:bCs w:val="false"/>
          <w:i w:val="false"/>
          <w:iCs w:val="false"/>
          <w:sz w:val="24"/>
          <w:szCs w:val="24"/>
        </w:rPr>
        <w:t xml:space="preserve">This policy defines how {agencyName} generates, protects, reviews, and analyzes logs across its emergency communications systems. It sets what must be logged, who is responsible, and how long logs are kept, so the Agency can detect and investigate security events.</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«Who and what the policy covers, and what it excludes. State exclusions explicitly.»</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all Agency personnel and contractors responsible for operating, securing, or reviewing Agency systems.</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every system in scope of the Master Asset Inventory, including call handling, CAD, the ESInet connection, logging and recording systems, network infrastructure, and the endpoints and accounts that support them.</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[list any systems outside this policy. If none, write "None."]</w:t>
      </w:r>
    </w:p>
    <w:p>
      <w:pPr>
        <w:pStyle w:val="Heading2"/>
        <w:spacing w:after="100" w:before="220"/>
      </w:pPr>
      <w:r>
        <w:rPr>
          <w:rFonts w:ascii="Aptos" w:cs="Aptos" w:eastAsia="Aptos" w:hAnsi="Aptos"/>
          <w:b/>
          <w:bCs/>
          <w:color w:val="1B3A5C"/>
          <w:sz w:val="26"/>
          <w:szCs w:val="26"/>
        </w:rPr>
        <w:t xml:space="preserve">3. Definitions</w:t>
      </w:r>
    </w:p>
    <w:p>
      <w:pPr>
        <w:spacing w:after="140"/>
      </w:pPr>
      <w:r>
        <w:rPr>
          <w:rFonts w:ascii="Aptos" w:cs="Aptos" w:eastAsia="Aptos" w:hAnsi="Aptos"/>
          <w:i/>
          <w:iCs/>
          <w:color w:val="595959"/>
          <w:sz w:val="24"/>
          <w:szCs w:val="24"/>
        </w:rPr>
        <w:t xml:space="preserve">«Optional. Include only terms this policy uses with a narrower meaning than common usage. Do not define common operational terms (CAD, RMS, ESInet, dispatcher). Delete this section if not needed.»</w:t>
      </w:r>
    </w:p>
    <w:p>
      <w:pPr>
        <w:spacing w:after="120" w:before="0"/>
      </w:pPr>
      <w:r>
        <w:rPr>
          <w:rFonts w:ascii="Aptos" w:cs="Aptos" w:eastAsia="Aptos" w:hAnsi="Aptos"/>
          <w:b w:val="false"/>
          <w:bCs w:val="false"/>
          <w:i w:val="false"/>
          <w:iCs w:val="false"/>
          <w:sz w:val="24"/>
          <w:szCs w:val="24"/>
        </w:rPr>
        <w:t xml:space="preserve">Security-relevant event: any event that bears on the security of a system or its data, such as a login, an access to sensitive data, a configuration change, or an account change.</w:t>
      </w:r>
    </w:p>
    <w:p>
      <w:pPr>
        <w:pStyle w:val="Heading2"/>
        <w:spacing w:after="100" w:before="220"/>
      </w:pPr>
      <w:r>
        <w:rPr>
          <w:rFonts w:ascii="Aptos" w:cs="Aptos" w:eastAsia="Aptos" w:hAnsi="Aptos"/>
          <w:b/>
          <w:bCs/>
          <w:color w:val="1B3A5C"/>
          <w:sz w:val="26"/>
          <w:szCs w:val="26"/>
        </w:rPr>
        <w:t xml:space="preserve">4. Logging Requirements</w:t>
      </w:r>
    </w:p>
    <w:p>
      <w:pPr>
        <w:spacing w:after="140"/>
      </w:pPr>
      <w:r>
        <w:rPr>
          <w:rFonts w:ascii="Aptos" w:cs="Aptos" w:eastAsia="Aptos" w:hAnsi="Aptos"/>
          <w:i/>
          <w:iCs/>
          <w:color w:val="595959"/>
          <w:sz w:val="24"/>
          <w:szCs w:val="24"/>
        </w:rPr>
        <w:t xml:space="preserve">«The enforceable core, as numbered statements, plus the minimum event content and the logging depth expected at each system tier. Scope and tiers come from the Master Asset Inventory and the Asset Criticality Ranking Matrix.»</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enable logging on every system in scope, with logging depth scaled to the system’s criticality as ranked in the Asset Criticality Ranking Matrix.</w:t>
      </w:r>
    </w:p>
    <w:p>
      <w:pPr>
        <w:pStyle w:val="ListParagraph"/>
        <w:numPr>
          <w:ilvl w:val="0"/>
          <w:numId w:val="3"/>
        </w:numPr>
        <w:spacing w:after="60"/>
      </w:pPr>
      <w:r>
        <w:rPr>
          <w:rFonts w:ascii="Aptos" w:cs="Aptos" w:eastAsia="Aptos" w:hAnsi="Aptos"/>
          <w:b w:val="false"/>
          <w:bCs w:val="false"/>
          <w:i w:val="false"/>
          <w:iCs w:val="false"/>
          <w:sz w:val="24"/>
          <w:szCs w:val="24"/>
        </w:rPr>
        <w:t xml:space="preserve">Critical systems, including call handling, CAD, the ESInet connection, and the systems that authenticate or administer them, shall log security-relevant events continuously.</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set a minimum retention period for each log source and retain logs at least that long. Retention periods are recorded in the Log Retention Schedule.</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protect logs against alteration and deletion and shall restrict access to them.</w:t>
      </w:r>
    </w:p>
    <w:p>
      <w:pPr>
        <w:pStyle w:val="ListParagraph"/>
        <w:numPr>
          <w:ilvl w:val="0"/>
          <w:numId w:val="3"/>
        </w:numPr>
        <w:spacing w:after="60"/>
      </w:pPr>
      <w:r>
        <w:rPr>
          <w:rFonts w:ascii="Aptos" w:cs="Aptos" w:eastAsia="Aptos" w:hAnsi="Aptos"/>
          <w:b w:val="false"/>
          <w:bCs w:val="false"/>
          <w:i w:val="false"/>
          <w:iCs w:val="false"/>
          <w:sz w:val="24"/>
          <w:szCs w:val="24"/>
        </w:rPr>
        <w:t xml:space="preserve">The Agency shall review logs on a defined cadence and analyze them for signs of compromise.</w:t>
      </w:r>
    </w:p>
    <w:p>
      <w:pPr>
        <w:pStyle w:val="ListParagraph"/>
        <w:numPr>
          <w:ilvl w:val="0"/>
          <w:numId w:val="3"/>
        </w:numPr>
        <w:spacing w:after="60"/>
      </w:pPr>
      <w:r>
        <w:rPr>
          <w:rFonts w:ascii="Aptos" w:cs="Aptos" w:eastAsia="Aptos" w:hAnsi="Aptos"/>
          <w:b w:val="false"/>
          <w:bCs w:val="false"/>
          <w:i w:val="false"/>
          <w:iCs w:val="false"/>
          <w:sz w:val="24"/>
          <w:szCs w:val="24"/>
        </w:rPr>
        <w:t xml:space="preserve">[Add Agency-specific requirements.]</w:t>
      </w:r>
    </w:p>
    <w:p>
      <w:pPr>
        <w:spacing w:after="120" w:before="0"/>
      </w:pPr>
      <w:r>
        <w:rPr>
          <w:rFonts w:ascii="Aptos" w:cs="Aptos" w:eastAsia="Aptos" w:hAnsi="Aptos"/>
          <w:b w:val="false"/>
          <w:bCs w:val="false"/>
          <w:i w:val="false"/>
          <w:iCs w:val="false"/>
          <w:sz w:val="24"/>
          <w:szCs w:val="24"/>
        </w:rPr>
        <w:t xml:space="preserve">Each log record captures, at a minimum:</w:t>
      </w:r>
    </w:p>
    <w:p>
      <w:pPr>
        <w:pStyle w:val="ListParagraph"/>
        <w:numPr>
          <w:ilvl w:val="0"/>
          <w:numId w:val="2"/>
        </w:numPr>
        <w:spacing w:after="60"/>
      </w:pPr>
      <w:r>
        <w:rPr>
          <w:rFonts w:ascii="Aptos" w:cs="Aptos" w:eastAsia="Aptos" w:hAnsi="Aptos"/>
          <w:b w:val="false"/>
          <w:bCs w:val="false"/>
          <w:i w:val="false"/>
          <w:iCs w:val="false"/>
          <w:sz w:val="24"/>
          <w:szCs w:val="24"/>
        </w:rPr>
        <w:t xml:space="preserve">the date and time, synchronized to a common time source;</w:t>
      </w:r>
    </w:p>
    <w:p>
      <w:pPr>
        <w:pStyle w:val="ListParagraph"/>
        <w:numPr>
          <w:ilvl w:val="0"/>
          <w:numId w:val="2"/>
        </w:numPr>
        <w:spacing w:after="60"/>
      </w:pPr>
      <w:r>
        <w:rPr>
          <w:rFonts w:ascii="Aptos" w:cs="Aptos" w:eastAsia="Aptos" w:hAnsi="Aptos"/>
          <w:b w:val="false"/>
          <w:bCs w:val="false"/>
          <w:i w:val="false"/>
          <w:iCs w:val="false"/>
          <w:sz w:val="24"/>
          <w:szCs w:val="24"/>
        </w:rPr>
        <w:t xml:space="preserve">the user or system account involved;</w:t>
      </w:r>
    </w:p>
    <w:p>
      <w:pPr>
        <w:pStyle w:val="ListParagraph"/>
        <w:numPr>
          <w:ilvl w:val="0"/>
          <w:numId w:val="2"/>
        </w:numPr>
        <w:spacing w:after="60"/>
      </w:pPr>
      <w:r>
        <w:rPr>
          <w:rFonts w:ascii="Aptos" w:cs="Aptos" w:eastAsia="Aptos" w:hAnsi="Aptos"/>
          <w:b w:val="false"/>
          <w:bCs w:val="false"/>
          <w:i w:val="false"/>
          <w:iCs w:val="false"/>
          <w:sz w:val="24"/>
          <w:szCs w:val="24"/>
        </w:rPr>
        <w:t xml:space="preserve">the event type and the system or data affected;</w:t>
      </w:r>
    </w:p>
    <w:p>
      <w:pPr>
        <w:pStyle w:val="ListParagraph"/>
        <w:numPr>
          <w:ilvl w:val="0"/>
          <w:numId w:val="2"/>
        </w:numPr>
        <w:spacing w:after="60"/>
      </w:pPr>
      <w:r>
        <w:rPr>
          <w:rFonts w:ascii="Aptos" w:cs="Aptos" w:eastAsia="Aptos" w:hAnsi="Aptos"/>
          <w:b w:val="false"/>
          <w:bCs w:val="false"/>
          <w:i w:val="false"/>
          <w:iCs w:val="false"/>
          <w:sz w:val="24"/>
          <w:szCs w:val="24"/>
        </w:rPr>
        <w:t xml:space="preserve">whether the action succeeded or failed;</w:t>
      </w:r>
    </w:p>
    <w:p>
      <w:pPr>
        <w:pStyle w:val="ListParagraph"/>
        <w:numPr>
          <w:ilvl w:val="0"/>
          <w:numId w:val="2"/>
        </w:numPr>
        <w:spacing w:after="60"/>
      </w:pPr>
      <w:r>
        <w:rPr>
          <w:rFonts w:ascii="Aptos" w:cs="Aptos" w:eastAsia="Aptos" w:hAnsi="Aptos"/>
          <w:b w:val="false"/>
          <w:bCs w:val="false"/>
          <w:i w:val="false"/>
          <w:iCs w:val="false"/>
          <w:sz w:val="24"/>
          <w:szCs w:val="24"/>
        </w:rPr>
        <w:t xml:space="preserve">the source of the action, such as host or network address, where the system records it.</w:t>
      </w:r>
    </w:p>
    <w:p>
      <w:pPr>
        <w:spacing w:after="120" w:before="0"/>
      </w:pPr>
      <w:r>
        <w:rPr>
          <w:rFonts w:ascii="Aptos" w:cs="Aptos" w:eastAsia="Aptos" w:hAnsi="Aptos"/>
          <w:b w:val="false"/>
          <w:bCs w:val="false"/>
          <w:i w:val="false"/>
          <w:iCs w:val="false"/>
          <w:sz w:val="24"/>
          <w:szCs w:val="24"/>
        </w:rPr>
        <w:t xml:space="preserve">Logging depth is scaled to each system’s importance: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System tier</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 logging expectation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Critical (call handling, CAD, ESInet, authentication/admin systems)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Continuous logging of security-relevant events; retained per the Log Retention Schedule; reviewed on the defined cadence and after any incident.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High (supporting servers, network infrastructure, endpoints with sensitive access)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Logging of access, account, and configuration changes; retained per schedule; reviewed periodically.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Standard (low-sensitivity systems)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Logging where available; reviewed on event or exception.</w:t>
            </w:r>
          </w:p>
        </w:tc>
      </w:tr>
    </w:tbl>
    <w:p>
      <w:pPr>
        <w:pStyle w:val="Heading2"/>
        <w:spacing w:after="100" w:before="220"/>
      </w:pPr>
      <w:r>
        <w:rPr>
          <w:rFonts w:ascii="Aptos" w:cs="Aptos" w:eastAsia="Aptos" w:hAnsi="Aptos"/>
          <w:b/>
          <w:bCs/>
          <w:color w:val="1B3A5C"/>
          <w:sz w:val="26"/>
          <w:szCs w:val="26"/>
        </w:rPr>
        <w:t xml:space="preserve">5. Log Protection &amp; Integrity</w:t>
      </w:r>
    </w:p>
    <w:p>
      <w:pPr>
        <w:spacing w:after="140"/>
      </w:pPr>
      <w:r>
        <w:rPr>
          <w:rFonts w:ascii="Aptos" w:cs="Aptos" w:eastAsia="Aptos" w:hAnsi="Aptos"/>
          <w:i/>
          <w:iCs/>
          <w:color w:val="595959"/>
          <w:sz w:val="24"/>
          <w:szCs w:val="24"/>
        </w:rPr>
        <w:t xml:space="preserve">«How logs are kept trustworthy. Name the intent; the verification method lives in the Log Integrity Verification Procedures.»</w:t>
      </w:r>
    </w:p>
    <w:p>
      <w:pPr>
        <w:spacing w:after="120" w:before="0"/>
      </w:pPr>
      <w:r>
        <w:rPr>
          <w:rFonts w:ascii="Aptos" w:cs="Aptos" w:eastAsia="Aptos" w:hAnsi="Aptos"/>
          <w:b w:val="false"/>
          <w:bCs w:val="false"/>
          <w:i w:val="false"/>
          <w:iCs w:val="false"/>
          <w:sz w:val="24"/>
          <w:szCs w:val="24"/>
        </w:rPr>
        <w:t xml:space="preserve">Logs are stored so they cannot be altered or deleted by ordinary users. The Agency restricts log access to assigned roles and, where the system supports it, writes logs to protected or write-once storage. The methods used to verify log integrity are defined in the Log Integrity Verification Procedures.</w:t>
      </w:r>
    </w:p>
    <w:p>
      <w:pPr>
        <w:pStyle w:val="Heading2"/>
        <w:spacing w:after="100" w:before="220"/>
      </w:pPr>
      <w:r>
        <w:rPr>
          <w:rFonts w:ascii="Aptos" w:cs="Aptos" w:eastAsia="Aptos" w:hAnsi="Aptos"/>
          <w:b/>
          <w:bCs/>
          <w:color w:val="1B3A5C"/>
          <w:sz w:val="26"/>
          <w:szCs w:val="26"/>
        </w:rPr>
        <w:t xml:space="preserve">6. Roles &amp; Responsibilities</w:t>
      </w:r>
    </w:p>
    <w:p>
      <w:pPr>
        <w:spacing w:after="140"/>
      </w:pPr>
      <w:r>
        <w:rPr>
          <w:rFonts w:ascii="Aptos" w:cs="Aptos" w:eastAsia="Aptos" w:hAnsi="Aptos"/>
          <w:i/>
          <w:iCs/>
          <w:color w:val="595959"/>
          <w:sz w:val="24"/>
          <w:szCs w:val="24"/>
        </w:rPr>
        <w:t xml:space="preserve">«Each role that carries a duty under this policy and what it owns. Roles, not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 Coordinator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Owns this policy and confirms every in-scope system has assigned owners for the four logging duties: generate, protect, review, and analyze.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 (county / vendor / in-house)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Generates logs by configuring logging on in-scope systems, and protects them by securing storage and restricting access.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Security coordinator / log reviewer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Reviews logs on the defined cadence and analyzes them for signs of compromise; escalates findings under the Incident Response Plan.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System / data owners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Confirm their systems are in scope and logging at the required depth.</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Do not disable or tamper with logging.</w:t>
            </w:r>
          </w:p>
        </w:tc>
      </w:tr>
    </w:tbl>
    <w:p>
      <w:pPr>
        <w:pStyle w:val="Heading2"/>
        <w:spacing w:after="100" w:before="220"/>
      </w:pPr>
      <w:r>
        <w:rPr>
          <w:rFonts w:ascii="Aptos" w:cs="Aptos" w:eastAsia="Aptos" w:hAnsi="Aptos"/>
          <w:b/>
          <w:bCs/>
          <w:color w:val="1B3A5C"/>
          <w:sz w:val="26"/>
          <w:szCs w:val="26"/>
        </w:rPr>
        <w:t xml:space="preserve">7. Enforcement</w:t>
      </w:r>
    </w:p>
    <w:p>
      <w:pPr>
        <w:spacing w:after="140"/>
      </w:pPr>
      <w:r>
        <w:rPr>
          <w:rFonts w:ascii="Aptos" w:cs="Aptos" w:eastAsia="Aptos" w:hAnsi="Aptos"/>
          <w:i/>
          <w:iCs/>
          <w:color w:val="595959"/>
          <w:sz w:val="24"/>
          <w:szCs w:val="24"/>
        </w:rPr>
        <w:t xml:space="preserve">«How compliance is monitored and what happens on violation. Reference the Agency’s corrective process; do not restate it.»</w:t>
      </w:r>
    </w:p>
    <w:p>
      <w:pPr>
        <w:spacing w:after="120" w:before="0"/>
      </w:pPr>
      <w:r>
        <w:rPr>
          <w:rFonts w:ascii="Aptos" w:cs="Aptos" w:eastAsia="Aptos" w:hAnsi="Aptos"/>
          <w:b w:val="false"/>
          <w:bCs w:val="false"/>
          <w:i w:val="false"/>
          <w:iCs w:val="false"/>
          <w:sz w:val="24"/>
          <w:szCs w:val="24"/>
        </w:rPr>
        <w:t xml:space="preserve">Compliance is checked through periodic review of logging configuration and review records. A gap is recorded as a finding and tracked to closure. Repeated failure to log or review is handled under the Agency’s corrective process.</w:t>
      </w:r>
    </w:p>
    <w:p>
      <w:pPr>
        <w:pStyle w:val="Heading2"/>
        <w:spacing w:after="100" w:before="220"/>
      </w:pPr>
      <w:r>
        <w:rPr>
          <w:rFonts w:ascii="Aptos" w:cs="Aptos" w:eastAsia="Aptos" w:hAnsi="Aptos"/>
          <w:b/>
          <w:bCs/>
          <w:color w:val="1B3A5C"/>
          <w:sz w:val="26"/>
          <w:szCs w:val="26"/>
        </w:rPr>
        <w:t xml:space="preserve">8. Exceptions</w:t>
      </w:r>
    </w:p>
    <w:p>
      <w:pPr>
        <w:spacing w:after="140"/>
      </w:pPr>
      <w:r>
        <w:rPr>
          <w:rFonts w:ascii="Aptos" w:cs="Aptos" w:eastAsia="Aptos" w:hAnsi="Aptos"/>
          <w:i/>
          <w:iCs/>
          <w:color w:val="595959"/>
          <w:sz w:val="24"/>
          <w:szCs w:val="24"/>
        </w:rPr>
        <w:t xml:space="preserve">«Who may grant an exception, how it is requested and recorded, and how long it lasts before review.»</w:t>
      </w:r>
    </w:p>
    <w:p>
      <w:pPr>
        <w:spacing w:after="120" w:before="0"/>
      </w:pPr>
      <w:r>
        <w:rPr>
          <w:rFonts w:ascii="Aptos" w:cs="Aptos" w:eastAsia="Aptos" w:hAnsi="Aptos"/>
          <w:b w:val="false"/>
          <w:bCs w:val="false"/>
          <w:i w:val="false"/>
          <w:iCs w:val="false"/>
          <w:sz w:val="24"/>
          <w:szCs w:val="24"/>
        </w:rPr>
        <w:t xml:space="preserve">[The Director] may grant a written exception where a system cannot meet a requirement, stating the compensating measure, who approved it, and an expiry date, reviewed at least annually.</w:t>
      </w:r>
    </w:p>
    <w:p>
      <w:pPr>
        <w:pStyle w:val="Heading2"/>
        <w:spacing w:after="100" w:before="220"/>
      </w:pPr>
      <w:r>
        <w:rPr>
          <w:rFonts w:ascii="Aptos" w:cs="Aptos" w:eastAsia="Aptos" w:hAnsi="Aptos"/>
          <w:b/>
          <w:bCs/>
          <w:color w:val="1B3A5C"/>
          <w:sz w:val="26"/>
          <w:szCs w:val="26"/>
        </w:rPr>
        <w:t xml:space="preserve">9. Review Schedule</w:t>
      </w:r>
    </w:p>
    <w:p>
      <w:pPr>
        <w:spacing w:after="140"/>
      </w:pPr>
      <w:r>
        <w:rPr>
          <w:rFonts w:ascii="Aptos" w:cs="Aptos" w:eastAsia="Aptos" w:hAnsi="Aptos"/>
          <w:i/>
          <w:iCs/>
          <w:color w:val="595959"/>
          <w:sz w:val="24"/>
          <w:szCs w:val="24"/>
        </w:rPr>
        <w:t xml:space="preserve">«Review cadence and trigger events (annual at minimum; also on significant change). Name the owning role.»</w:t>
      </w:r>
    </w:p>
    <w:p>
      <w:pPr>
        <w:spacing w:after="120" w:before="0"/>
      </w:pPr>
      <w:r>
        <w:rPr>
          <w:rFonts w:ascii="Aptos" w:cs="Aptos" w:eastAsia="Aptos" w:hAnsi="Aptos"/>
          <w:b w:val="false"/>
          <w:bCs w:val="false"/>
          <w:i w:val="false"/>
          <w:iCs w:val="false"/>
          <w:sz w:val="24"/>
          <w:szCs w:val="24"/>
        </w:rPr>
        <w:t xml:space="preserve">This policy is reviewed at least annually and after any significant change to Agency systems or applicable law, by the {ownerRole}.</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Adopt as written. Turn on built-in logging for the call-handling system, CAD, and the firewall, and keep logs for the minimum period the vendor supports. The director or county IT reviews logs on a set monthly date and after any incident. A SIEM is not required; manual review is enough at this size.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County IT centralizes logs from the main systems and a named reviewer checks them weekly. Add a basic log-collection tool as volume grows.</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Logs from all in-scope systems feed a central monitoring system. A security analyst reviews and tunes detections, and log integrity is verified automatically.</w:t>
            </w:r>
          </w:p>
        </w:tc>
      </w:tr>
    </w:tbl>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b w:val="false"/>
          <w:bCs w:val="false"/>
          <w:i w:val="false"/>
          <w:iCs w:val="false"/>
          <w:sz w:val="24"/>
          <w:szCs w:val="24"/>
        </w:rPr>
        <w:t xml:space="preserve">CJIS Handling: For systems carrying CJIS-regulated data, reached in Indiana through IDACS, apply CJIS Security Policy v5.9 §5.4 (Auditing and Accountability) in addition to the requirements above. Where IDACS is in scope, 240 IAC 5 applies alongside.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r>
              <w:rPr>
                <w:rFonts w:ascii="Aptos" w:cs="Aptos" w:eastAsia="Aptos" w:hAnsi="Aptos"/>
                <w:sz w:val="24"/>
                <w:szCs w:val="24"/>
              </w:rPr>
              <w:t xml:space="preserve">NENA-STA-040.2-2024: §5.6, §5.6.1, §5.6.2, §5.6.3</w:t>
            </w:r>
          </w:p>
          <w:p>
            <w:r>
              <w:rPr>
                <w:rFonts w:ascii="Aptos" w:cs="Aptos" w:eastAsia="Aptos" w:hAnsi="Aptos"/>
                <w:sz w:val="24"/>
                <w:szCs w:val="24"/>
              </w:rPr>
              <w:t xml:space="preserve">NIST SP 800-53 Rev. 5: AU-2, AU-3, AU-6, AU-9, AU-11, AU-12</w:t>
            </w:r>
          </w:p>
          <w:p>
            <w:r>
              <w:rPr>
                <w:rFonts w:ascii="Aptos" w:cs="Aptos" w:eastAsia="Aptos" w:hAnsi="Aptos"/>
                <w:sz w:val="24"/>
                <w:szCs w:val="24"/>
              </w:rPr>
              <w:t xml:space="preserve">CJIS Security Policy v5.9: §5.4 (Auditing and Accountability;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{approvingOfficialTitle}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(internal, delete before publishing)</w:t>
            </w:r>
          </w:p>
          <w:p>
            <w:r>
              <w:rPr>
                <w:rFonts w:ascii="Aptos" w:cs="Aptos" w:eastAsia="Aptos" w:hAnsi="Aptos"/>
                <w:sz w:val="24"/>
                <w:szCs w:val="24"/>
              </w:rPr>
              <w:t xml:space="preserve">Confirm the in-scope systems and criticality tiers from the Master Asset Inventory and Asset Criticality Ranking Matrix (Section 4).</w:t>
            </w:r>
          </w:p>
          <w:p>
            <w:r>
              <w:rPr>
                <w:rFonts w:ascii="Aptos" w:cs="Aptos" w:eastAsia="Aptos" w:hAnsi="Aptos"/>
                <w:sz w:val="24"/>
                <w:szCs w:val="24"/>
              </w:rPr>
              <w:t xml:space="preserve">Confirm minimum retention periods per log source with the Log Retention Schedule.</w:t>
            </w:r>
          </w:p>
          <w:p>
            <w:r>
              <w:rPr>
                <w:rFonts w:ascii="Aptos" w:cs="Aptos" w:eastAsia="Aptos" w:hAnsi="Aptos"/>
                <w:sz w:val="24"/>
                <w:szCs w:val="24"/>
              </w:rPr>
              <w:t xml:space="preserve">Confirm which role performs log review and analysis (Section 6).</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