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Cybersecurity Charter / Leadership Designation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 xml:space="preserve">This charter establishes {agencyName}'s cybersecurity and privacy program and authorizes the resources and authority to run it. It names the program's executive sponsor, designates the cybersecurity and privacy lead, and confirms the {directorName}'s authority to direct IT resources, whether county, contracted, or in-house, toward security work. Every other security document the Agency maintains operates under the program this charter establishes.</w:t>
      </w:r>
    </w:p>
    <w:p>
      <w:pPr>
        <w:pStyle w:val="Heading2"/>
        <w:spacing w:after="100" w:before="220"/>
      </w:pPr>
      <w:r>
        <w:rPr>
          <w:rFonts w:ascii="Aptos" w:cs="Aptos" w:eastAsia="Aptos" w:hAnsi="Aptos"/>
          <w:b/>
          <w:bCs/>
          <w:color w:val="1B3A5C"/>
          <w:sz w:val="26"/>
          <w:szCs w:val="26"/>
        </w:rPr>
        <w:t xml:space="preserve">Strategic Objectives</w:t>
      </w:r>
    </w:p>
    <w:p>
      <w:pPr>
        <w:spacing w:after="140"/>
      </w:pPr>
      <w:r>
        <w:rPr>
          <w:rFonts w:ascii="Aptos" w:cs="Aptos" w:eastAsia="Aptos" w:hAnsi="Aptos"/>
          <w:i/>
          <w:iCs/>
          <w:color w:val="595959"/>
          <w:sz w:val="24"/>
          <w:szCs w:val="24"/>
        </w:rPr>
        <w:t xml:space="preserve">«Optional. Charter-level and program policies state objectives here; routine policies delete this section. Three to five outcome statements the program aims to achieve.»</w:t>
      </w:r>
    </w:p>
    <w:p>
      <w:pPr>
        <w:spacing w:after="120" w:before="0"/>
      </w:pPr>
      <w:r>
        <w:rPr>
          <w:rFonts w:ascii="Aptos" w:cs="Aptos" w:eastAsia="Aptos" w:hAnsi="Aptos"/>
          <w:b w:val="false"/>
          <w:bCs w:val="false"/>
          <w:i w:val="false"/>
          <w:iCs w:val="false"/>
          <w:sz w:val="24"/>
          <w:szCs w:val="24"/>
        </w:rPr>
        <w:t xml:space="preserve">Protect 9-1-1 service. Keep call-handling and dispatch available, and protect the systems and data that support them against cyber and physical threats.</w:t>
      </w:r>
    </w:p>
    <w:p>
      <w:pPr>
        <w:spacing w:after="120" w:before="0"/>
      </w:pPr>
      <w:r>
        <w:rPr>
          <w:rFonts w:ascii="Aptos" w:cs="Aptos" w:eastAsia="Aptos" w:hAnsi="Aptos"/>
          <w:b w:val="false"/>
          <w:bCs w:val="false"/>
          <w:i w:val="false"/>
          <w:iCs w:val="false"/>
          <w:sz w:val="24"/>
          <w:szCs w:val="24"/>
        </w:rPr>
        <w:t xml:space="preserve">Meet legal and regulatory obligations. Satisfy the CJIS, IDACS, and Indiana cyber-incident and breach requirements that apply to the Agency.</w:t>
      </w:r>
    </w:p>
    <w:p>
      <w:pPr>
        <w:spacing w:after="120" w:before="0"/>
      </w:pPr>
      <w:r>
        <w:rPr>
          <w:rFonts w:ascii="Aptos" w:cs="Aptos" w:eastAsia="Aptos" w:hAnsi="Aptos"/>
          <w:b w:val="false"/>
          <w:bCs w:val="false"/>
          <w:i w:val="false"/>
          <w:iCs w:val="false"/>
          <w:sz w:val="24"/>
          <w:szCs w:val="24"/>
        </w:rPr>
        <w:t xml:space="preserve">Manage risk deliberately. Identify, score, and treat risk to mission-critical systems on a set cadence, within the Agency's stated risk appetite.</w:t>
      </w:r>
    </w:p>
    <w:p>
      <w:pPr>
        <w:spacing w:after="120" w:before="0"/>
      </w:pPr>
      <w:r>
        <w:rPr>
          <w:rFonts w:ascii="Aptos" w:cs="Aptos" w:eastAsia="Aptos" w:hAnsi="Aptos"/>
          <w:b w:val="false"/>
          <w:bCs w:val="false"/>
          <w:i w:val="false"/>
          <w:iCs w:val="false"/>
          <w:sz w:val="24"/>
          <w:szCs w:val="24"/>
        </w:rPr>
        <w:t xml:space="preserve">Build a security-aware workforce. Train personnel to recognize and report threats, and hold them accountable for protecting credentials and data.</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Agency personnel and leadership, and any county, contracted, or in-house IT staff and vendors who support the Agency's systems.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cybersecurity and privacy program as a whole, its governance, the authority to direct resources, and the designation of the cybersecurity and privacy lead. The program governs all systems and data used to receive, process, and dispatch 9-1-1 calls.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the day-to-day technical controls and procedures, which are set in the documents issued under this charter. [Add exclusions if any; if none, write “None.”]</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 xml:space="preserve">Designated Cybersecurity and Privacy Lead: the individual the {directorName} appoints to coordinate the Agency's cybersecurity and privacy program. Named in Roles &amp; Responsibilities below.</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establishes a cybersecurity and privacy program under the authority of {authorizingOfficialTitle}, and maintains it as an ongoing function, not a one-time project.</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designates a Cybersecurity and Privacy Lead, named in Roles &amp; Responsibilities, who coordinates the program and serves as the Agency's primary cybersecurity point of contact.</w:t>
      </w:r>
    </w:p>
    <w:p>
      <w:pPr>
        <w:pStyle w:val="ListParagraph"/>
        <w:numPr>
          <w:ilvl w:val="0"/>
          <w:numId w:val="3"/>
        </w:numPr>
        <w:spacing w:after="60"/>
      </w:pPr>
      <w:r>
        <w:rPr>
          <w:rFonts w:ascii="Aptos" w:cs="Aptos" w:eastAsia="Aptos" w:hAnsi="Aptos"/>
          <w:b w:val="false"/>
          <w:bCs w:val="false"/>
          <w:i w:val="false"/>
          <w:iCs w:val="false"/>
          <w:sz w:val="24"/>
          <w:szCs w:val="24"/>
        </w:rPr>
        <w:t xml:space="preserve">The {directorName} holds the authority to direct IT resources, whether county, contracted, or in-house, toward the security work this program requires.</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commits the resources recorded in Committed Resources and tracks them in the Cybersecurity Budget &amp; Resource Allocation Record.</w:t>
      </w:r>
    </w:p>
    <w:p>
      <w:pPr>
        <w:pStyle w:val="ListParagraph"/>
        <w:numPr>
          <w:ilvl w:val="0"/>
          <w:numId w:val="3"/>
        </w:numPr>
        <w:spacing w:after="60"/>
      </w:pPr>
      <w:r>
        <w:rPr>
          <w:rFonts w:ascii="Aptos" w:cs="Aptos" w:eastAsia="Aptos" w:hAnsi="Aptos"/>
          <w:b w:val="false"/>
          <w:bCs w:val="false"/>
          <w:i w:val="false"/>
          <w:iCs w:val="false"/>
          <w:sz w:val="24"/>
          <w:szCs w:val="24"/>
        </w:rPr>
        <w:t xml:space="preserve">Leadership reviews the program and the threats facing it on a set cadence, recorded in the Leadership Security Review Meeting Minutes.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program operates within the risk appetite set in the Risk Management Methodology Standard.</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 One exception: where an assessment requires a named designee, such as the cybersecurity and privacy lead named in a charter, name that person and title here, and revise the document when they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Designated Cybersecurity &amp; Privacy Lead: {fullName}, {title}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Coordinates the cybersecurity and privacy program, maintains the security document set, and is the Agency's primary cybersecurity point of contact. A specific person is named here by design; revise this charter when the appointee changes.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Sponsors and owns the program, authorizes resources, and directs IT toward security work. Approves this charter.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Carries out the technical security work the program directs, under the IT Support Accountability Agreement.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Reinforces the program on shift and ensures staff meet training and reporting expectations.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 program's policies and procedures, protect credentials and data, and report suspected incidents.</w:t>
            </w:r>
          </w:p>
        </w:tc>
      </w:tr>
    </w:tbl>
    <w:p>
      <w:pPr>
        <w:pStyle w:val="Heading2"/>
        <w:spacing w:after="100" w:before="220"/>
      </w:pPr>
      <w:r>
        <w:rPr>
          <w:rFonts w:ascii="Aptos" w:cs="Aptos" w:eastAsia="Aptos" w:hAnsi="Aptos"/>
          <w:b/>
          <w:bCs/>
          <w:color w:val="1B3A5C"/>
          <w:sz w:val="26"/>
          <w:szCs w:val="26"/>
        </w:rPr>
        <w:t xml:space="preserve">Committed Resources</w:t>
      </w:r>
    </w:p>
    <w:p>
      <w:pPr>
        <w:spacing w:after="140"/>
      </w:pPr>
      <w:r>
        <w:rPr>
          <w:rFonts w:ascii="Aptos" w:cs="Aptos" w:eastAsia="Aptos" w:hAnsi="Aptos"/>
          <w:i/>
          <w:iCs/>
          <w:color w:val="595959"/>
          <w:sz w:val="24"/>
          <w:szCs w:val="24"/>
        </w:rPr>
        <w:t xml:space="preserve">«Optional. Use where the policy commits budget, staffing, or tooling, such as a charter. State what leadership commits; the dated detail lives in the Cybersecurity Budget &amp; Resource Allocation Record. Delete for routine policies.»</w:t>
      </w:r>
    </w:p>
    <w:p>
      <w:pPr>
        <w:spacing w:after="120" w:before="0"/>
      </w:pPr>
      <w:r>
        <w:rPr>
          <w:rFonts w:ascii="Aptos" w:cs="Aptos" w:eastAsia="Aptos" w:hAnsi="Aptos"/>
          <w:b w:val="false"/>
          <w:bCs w:val="false"/>
          <w:i w:val="false"/>
          <w:iCs w:val="false"/>
          <w:sz w:val="24"/>
          <w:szCs w:val="24"/>
        </w:rPr>
        <w:t xml:space="preserve">Leadership commits a dedicated cybersecurity budget line, the staffing or assigned time for the Designated Cybersecurity and Privacy Lead, and funding for the tools and training the program requires. The amounts, staffing, and funding sources are recorded and tracked each cycle in the Cybersecurity Budget &amp; Resource Allocation Record. [State the committed budget line or allocation, or reference where it is set.]</w:t>
      </w:r>
    </w:p>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 xml:space="preserve">The {directorName} oversees the program and this charter. Failure to carry out an assigned program responsibility is handled under the Agency's {personnelCorrectiveActionProcess}. Authority granted by this charter does not lapse on personnel change; it transfers with the role.</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 xml:space="preserve">This charter sets the program's authority and grants no standing exceptions. Any change to the program's scope, authority, or designated lead is made by revising this charter with the written approval of {authorizingOfficialTitle2}.</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charter is reviewed at least annually and whenever the program's sponsor, designated lead, or scope changes, by the {directorName}. Because it names a specific individual as the Designated Cybersecurity and Privacy Lead, it is revised when that person changes; a stale designation is a finding.</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is usually both the sponsor and the designated lead, and signs in both roles. County or vendor IT carries out the technical work under the IT Support Accountability Agreement. An annual review is enough; revisit after any incident or staffing change.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Name a security coordinator as the designated lead, separate from the director who sponsors the program. Tie the committed budget line to the county's cycle. Review the charter when the coordinator or sponsor changes.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charter sits at the top of a formal program. A dedicated or part-time security role holds the designation, leadership reviews the program on a set schedule, and the committed resources are managed as a standing budget line.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§4.1.1, §4.1.2</w:t>
            </w:r>
          </w:p>
          <w:p>
            <w:pPr>
              <w:spacing w:after="40" w:before="0"/>
            </w:pPr>
            <w:r>
              <w:rPr>
                <w:rFonts w:ascii="Aptos" w:cs="Aptos" w:eastAsia="Aptos" w:hAnsi="Aptos"/>
                <w:b w:val="false"/>
                <w:bCs w:val="false"/>
                <w:i w:val="false"/>
                <w:iCs w:val="false"/>
                <w:sz w:val="24"/>
                <w:szCs w:val="24"/>
              </w:rPr>
              <w:t xml:space="preserve">NIST SP 800-53 Rev. 5: PM-1, PM-2, PM-3, PM-11</w:t>
            </w:r>
          </w:p>
          <w:p>
            <w:pPr>
              <w:spacing w:after="40" w:before="0"/>
            </w:pPr>
            <w:r>
              <w:rPr>
                <w:rFonts w:ascii="Aptos" w:cs="Aptos" w:eastAsia="Aptos" w:hAnsi="Aptos"/>
                <w:b w:val="false"/>
                <w:bCs w:val="false"/>
                <w:i w:val="false"/>
                <w:iCs w:val="false"/>
                <w:sz w:val="24"/>
                <w:szCs w:val="24"/>
              </w:rPr>
              <w:t xml:space="preserve">Indiana statutes and administrative code: HEA 1169 (2021): designate and annually update the cyber incident reporting contact</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{authorizingOfficialTitle3}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This designation letter names a specific individual as the Designated Cybersecurity and Privacy Lead. This is the one named-person field in the form (the project's role-not-name exception). The PSAP fills {fullName2} and {title2} and revises the charter when that person changes. Cross-referenced artifacts use their Tracker names: Cybersecurity Budget &amp; Resource Allocation Record, Leadership Security Review Meeting Minutes, Risk Management Methodology Standard, IT Support Accountability Agreement. Confirm the NENA-STA-040.2-2024 sections (§4.1.1 Senior Management, §4.1.2 Policies) against the standard in force. Agency-supplied values left in brackets: {agencyName}, authorizing official, designated lead name and title, version, effective and review dates, and the committed budget line.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Charter / Leadership Designation Letter - FORM</dc:title>
</cp:coreProperties>
</file>

<file path=docProps/custom.xml><?xml version="1.0" encoding="utf-8"?>
<Properties xmlns="http://schemas.openxmlformats.org/officeDocument/2006/custom-properties" xmlns:vt="http://schemas.openxmlformats.org/officeDocument/2006/docPropsVTypes"/>
</file>