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{directorName}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is {agencyName}'s top-level governance document for cybersecurity and privacy. It sets the security and privacy controls, responsibilities, and legal commitments that protect the systems and data the Agency uses to receive, process, and dispatch 9-1-1 calls. Every other security and privacy document the Agency maintains operates under this policy and cites it as its parent authority.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including full-time and part-time dispatchers, supervisors, and administrative staff, and any contractor or vendor personnel with access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Covers: all systems, networks, applications, and data the Agency owns or operates to support 9-1-1 call handling and dispatch, including CAD, telephony and the ESInet connection, logging and recording systems, GIS, and the endpoints and infrastructure that support them. Covers CJIS-regulated data accessed through IDACS. [Add Agency-specific systems.]</w:t>
      </w:r>
    </w:p>
    <w:p>
      <w:pPr>
        <w:pStyle w:val="ListParagraph"/>
        <w:numPr>
          <w:ilvl w:val="0"/>
          <w:numId w:val="2"/>
        </w:numPr>
        <w:spacing w:after="60"/>
      </w:pPr>
      <w:r>
        <w:rPr>
          <w:rFonts w:ascii="Aptos" w:cs="Aptos" w:eastAsia="Aptos" w:hAnsi="Aptos"/>
          <w:b w:val="false"/>
          <w:bCs w:val="false"/>
          <w:i w:val="false"/>
          <w:iCs w:val="false"/>
          <w:sz w:val="24"/>
          <w:szCs w:val="24"/>
        </w:rPr>
        <w:t>Excludes: [list any systems or data outside this policy, such as systems owned and run solely by another agency under a separate agreement.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CJIS-regulated data: criminal justice information the Agency receives, stores, or transmits through IDACS, subject to the FBI CJIS Security Policy.</w:t>
      </w:r>
    </w:p>
    <w:p>
      <w:pPr>
        <w:pStyle w:val="Heading2"/>
        <w:spacing w:after="100" w:before="220"/>
      </w:pPr>
      <w:r>
        <w:rPr>
          <w:rFonts w:ascii="Aptos" w:cs="Aptos" w:eastAsia="Aptos" w:hAnsi="Aptos"/>
          <w:b/>
          <w:bCs/>
          <w:color w:val="1B3A5C"/>
          <w:sz w:val="26"/>
          <w:szCs w:val="26"/>
        </w:rPr>
        <w:t>4. Regulatory and Legal Authority</w:t>
      </w:r>
    </w:p>
    <w:p>
      <w:pPr>
        <w:spacing w:after="120" w:before="0"/>
      </w:pPr>
      <w:r>
        <w:rPr>
          <w:rFonts w:ascii="Aptos" w:cs="Aptos" w:eastAsia="Aptos" w:hAnsi="Aptos"/>
          <w:b w:val="false"/>
          <w:bCs w:val="false"/>
          <w:i w:val="false"/>
          <w:iCs w:val="false"/>
          <w:sz w:val="24"/>
          <w:szCs w:val="24"/>
        </w:rPr>
        <w:t>{agencyName} operates under the legal and regulatory regimes below. Each carries obligations that this policy applies to the Agency's controls and procedures. Precise section and control references appear in the Source Authority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Authority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Obligation at the policy 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FBI CJIS Security Policy (reached in Indiana through IDACS)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criminal justice information accessed through IDACS under CJIS handling, access, and personnel-screening requirements.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240 IAC 5 (IDACS rules)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 Indiana State Police IDACS security and use rules for any system that connects to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HEA 1169 (2021), Indiana cyber incident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cybersecurity incidents to the Indiana Office of Technology within two business days, and designate and annually update a primary reporting contact.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IC 24-4.9, Indiana data breach notification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affected Indiana residents without unreasonable delay, and notify the Indiana Attorney General when more than 500 residents are affected.</w:t>
            </w:r>
          </w:p>
        </w:tc>
      </w:tr>
    </w:tbl>
    <w:p>
      <w:pPr>
        <w:pStyle w:val="Heading2"/>
        <w:spacing w:after="100" w:before="220"/>
      </w:pPr>
      <w:r>
        <w:rPr>
          <w:rFonts w:ascii="Aptos" w:cs="Aptos" w:eastAsia="Aptos" w:hAnsi="Aptos"/>
          <w:b/>
          <w:bCs/>
          <w:color w:val="1B3A5C"/>
          <w:sz w:val="26"/>
          <w:szCs w:val="26"/>
        </w:rPr>
        <w:t>5.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cybersecurity and privacy controls aligned to the risks identified for its mission-critical systems, as recorded in the Risk Register.</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a current inventory of all hardware, software, and firmware assets in the Master Asset Inventory. The {directorName} approves the inventory, and it is reviewed at least {reviewCadence}.</w:t>
      </w:r>
    </w:p>
    <w:p>
      <w:pPr>
        <w:pStyle w:val="ListParagraph"/>
        <w:numPr>
          <w:ilvl w:val="0"/>
          <w:numId w:val="3"/>
        </w:numPr>
        <w:spacing w:after="60"/>
      </w:pPr>
      <w:r>
        <w:rPr>
          <w:rFonts w:ascii="Aptos" w:cs="Aptos" w:eastAsia="Aptos" w:hAnsi="Aptos"/>
          <w:b w:val="false"/>
          <w:bCs w:val="false"/>
          <w:i w:val="false"/>
          <w:iCs w:val="false"/>
          <w:sz w:val="24"/>
          <w:szCs w:val="24"/>
        </w:rPr>
        <w:t>The Agency shall comply with the regimes listed in Regulatory and Legal Authority and carry their requirements into its controls and procedures.</w:t>
      </w:r>
    </w:p>
    <w:p>
      <w:pPr>
        <w:pStyle w:val="ListParagraph"/>
        <w:numPr>
          <w:ilvl w:val="0"/>
          <w:numId w:val="3"/>
        </w:numPr>
        <w:spacing w:after="60"/>
      </w:pPr>
      <w:r>
        <w:rPr>
          <w:rFonts w:ascii="Aptos" w:cs="Aptos" w:eastAsia="Aptos" w:hAnsi="Aptos"/>
          <w:b w:val="false"/>
          <w:bCs w:val="false"/>
          <w:i w:val="false"/>
          <w:iCs w:val="false"/>
          <w:sz w:val="24"/>
          <w:szCs w:val="24"/>
        </w:rPr>
        <w:t>The Agency shall protect personally identifiable information and CJIS-regulated data, limit access to personnel with a legitimate need, and handle both under the Data Classification Policy and the Document Handling Standard.</w:t>
      </w:r>
    </w:p>
    <w:p>
      <w:pPr>
        <w:pStyle w:val="ListParagraph"/>
        <w:numPr>
          <w:ilvl w:val="0"/>
          <w:numId w:val="3"/>
        </w:numPr>
        <w:spacing w:after="60"/>
      </w:pPr>
      <w:r>
        <w:rPr>
          <w:rFonts w:ascii="Aptos" w:cs="Aptos" w:eastAsia="Aptos" w:hAnsi="Aptos"/>
          <w:b w:val="false"/>
          <w:bCs w:val="false"/>
          <w:i w:val="false"/>
          <w:iCs w:val="false"/>
          <w:sz w:val="24"/>
          <w:szCs w:val="24"/>
        </w:rPr>
        <w:t>On a suspected or confirmed data breach or cybersecurity incident, the Agency shall follow the Incident Response Plan, including the reporting and notification timelines set by HEA 1169 and IC 24-4.9.</w:t>
      </w:r>
    </w:p>
    <w:p>
      <w:pPr>
        <w:pStyle w:val="ListParagraph"/>
        <w:numPr>
          <w:ilvl w:val="0"/>
          <w:numId w:val="3"/>
        </w:numPr>
        <w:spacing w:after="60"/>
      </w:pPr>
      <w:r>
        <w:rPr>
          <w:rFonts w:ascii="Aptos" w:cs="Aptos" w:eastAsia="Aptos" w:hAnsi="Aptos"/>
          <w:b w:val="false"/>
          <w:bCs w:val="false"/>
          <w:i w:val="false"/>
          <w:iCs w:val="false"/>
          <w:sz w:val="24"/>
          <w:szCs w:val="24"/>
        </w:rPr>
        <w:t>The Agency shall provide cybersecurity and privacy awareness training to personnel as required by the Cybersecurity Training Plan and applicable law.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following this policy and the procedures issued under it, protecting their credentials and Agency data, and reporting suspected security or privacy concerns to the {directorName}.</w:t>
      </w:r>
    </w:p>
    <w:p>
      <w:pPr>
        <w:pStyle w:val="ListParagraph"/>
        <w:numPr>
          <w:ilvl w:val="0"/>
          <w:numId w:val="3"/>
        </w:numPr>
        <w:spacing w:after="60"/>
      </w:pPr>
      <w:r>
        <w:rPr>
          <w:rFonts w:ascii="Aptos" w:cs="Aptos" w:eastAsia="Aptos" w:hAnsi="Aptos"/>
          <w:b w:val="false"/>
          <w:bCs w:val="false"/>
          <w:i w:val="false"/>
          <w:iCs w:val="false"/>
          <w:sz w:val="24"/>
          <w:szCs w:val="24"/>
        </w:rPr>
        <w:t xml:space="preserve">[Add statements as needed.]</w:t>
      </w:r>
    </w:p>
    <w:p>
      <w:pPr>
        <w:pStyle w:val="Heading2"/>
        <w:spacing w:after="100" w:before="220"/>
      </w:pPr>
      <w:r>
        <w:rPr>
          <w:rFonts w:ascii="Aptos" w:cs="Aptos" w:eastAsia="Aptos" w:hAnsi="Aptos"/>
          <w:b/>
          <w:bCs/>
          <w:color w:val="1B3A5C"/>
          <w:sz w:val="26"/>
          <w:szCs w:val="26"/>
        </w:rPr>
        <w:t>6.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and approves the asset inventory and the Agency's controls. Ensures incidents are reported within the required timelines. Authorizes and records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maintains the technical controls. Keeps the asset inventory current. Supports incident response and recovery.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Applies this policy on shift, ensures staff complete required training, and reports security and privacy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Follow this policy and the procedures issued under it, protect credentials and data, and report suspected incidents promptly.</w:t>
            </w:r>
          </w:p>
        </w:tc>
      </w:tr>
    </w:tbl>
    <w:p>
      <w:pPr>
        <w:pStyle w:val="Heading2"/>
        <w:spacing w:after="100" w:before="220"/>
      </w:pPr>
      <w:r>
        <w:rPr>
          <w:rFonts w:ascii="Aptos" w:cs="Aptos" w:eastAsia="Aptos" w:hAnsi="Aptos"/>
          <w:b/>
          <w:bCs/>
          <w:color w:val="1B3A5C"/>
          <w:sz w:val="26"/>
          <w:szCs w:val="26"/>
        </w:rPr>
        <w:t>7.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{directorName} monitors compliance with this policy. Violations are handled under the Agency's {personnelCorrectiveActionProcess}. Repeated or willful violations may result in loss of system access and disciplinary action. Where a violation involves CJIS-regulated data, the Agency also follows the reporting requirements of the CJIS Security Policy and IDACS.</w:t>
      </w:r>
    </w:p>
    <w:p>
      <w:pPr>
        <w:pStyle w:val="Heading2"/>
        <w:spacing w:after="100" w:before="220"/>
      </w:pPr>
      <w:r>
        <w:rPr>
          <w:rFonts w:ascii="Aptos" w:cs="Aptos" w:eastAsia="Aptos" w:hAnsi="Aptos"/>
          <w:b/>
          <w:bCs/>
          <w:color w:val="1B3A5C"/>
          <w:sz w:val="26"/>
          <w:szCs w:val="26"/>
        </w:rPr>
        <w:t>8.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to this policy require written approval from the {directorName}. A request must state the control affected, the reason, any compensating measures, and an end date. Approved exceptions are recorded in the Risk Register and reviewed at least {reviewCadence2} or when the underlying condition changes.</w:t>
      </w:r>
    </w:p>
    <w:p>
      <w:pPr>
        <w:pStyle w:val="Heading2"/>
        <w:spacing w:after="100" w:before="220"/>
      </w:pPr>
      <w:r>
        <w:rPr>
          <w:rFonts w:ascii="Aptos" w:cs="Aptos" w:eastAsia="Aptos" w:hAnsi="Aptos"/>
          <w:b/>
          <w:bCs/>
          <w:color w:val="1B3A5C"/>
          <w:sz w:val="26"/>
          <w:szCs w:val="26"/>
        </w:rPr>
        <w:t>9.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threats, or legal obligations, by the {directorName}. Each review and approval is recorded in the Policy Review &amp; Approval Log.</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and fill the brackets. The director owns it and approves the asset inventory directly. County or vendor IT carries out the technical controls under the IT Support Accountability Agreement. An annual review is enough; revisit after any incident or major system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 a named security coordinator to keep the asset inventory current and track exceptions. Tie enforcement to the county's corrective-action process. Review twice a year if systems change often.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policy as part of a formal program. The information security role maintains the inventory, the control-to-risk mapping, and the exception register, and reports policy status to leadership on a set schedule.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This policy governs systems that contain CJIS-regulated data, reached in Indiana through IDACS. Apply the FBI CJIS Security Policy v[5.9] and 240 IAC 5 in addition to the controls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 §4.3, §5.4</w:t>
            </w:r>
          </w:p>
          <w:p>
            <w:pPr>
              <w:spacing w:after="40" w:before="0"/>
            </w:pPr>
            <w:r>
              <w:rPr>
                <w:rFonts w:ascii="Aptos" w:cs="Aptos" w:eastAsia="Aptos" w:hAnsi="Aptos"/>
                <w:b w:val="false"/>
                <w:bCs w:val="false"/>
                <w:i w:val="false"/>
                <w:iCs w:val="false"/>
                <w:sz w:val="24"/>
                <w:szCs w:val="24"/>
              </w:rPr>
              <w:t>NIST SP 800-53 Rev. 5: CM-8, PL-1, PM-1, PM-5, PM-9, PT-1, RA-1, RA-3</w:t>
            </w:r>
          </w:p>
          <w:p>
            <w:pPr>
              <w:spacing w:after="40" w:before="0"/>
            </w:pPr>
            <w:r>
              <w:rPr>
                <w:rFonts w:ascii="Aptos" w:cs="Aptos" w:eastAsia="Aptos" w:hAnsi="Aptos"/>
                <w:b w:val="false"/>
                <w:bCs w:val="false"/>
                <w:i w:val="false"/>
                <w:iCs w:val="false"/>
                <w:sz w:val="24"/>
                <w:szCs w:val="24"/>
              </w:rPr>
              <w:t>Indiana statutes and administrative code:</w:t>
            </w:r>
          </w:p>
          <w:p>
            <w:pPr>
              <w:spacing w:after="4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 xml:space="preserve">    240 IAC 5: IDACS Security</w:t>
            </w:r>
          </w:p>
          <w:p>
            <w:pPr>
              <w:spacing w:after="0" w:before="0"/>
            </w:pPr>
            <w:r>
              <w:rPr>
                <w:rFonts w:ascii="Aptos" w:cs="Aptos" w:eastAsia="Aptos" w:hAnsi="Aptos"/>
                <w:b w:val="false"/>
                <w:bCs w:val="false"/>
                <w:i w:val="false"/>
                <w:iCs w:val="false"/>
                <w:sz w:val="24"/>
                <w:szCs w:val="24"/>
              </w:rPr>
              <w:t>CJIS Security Policy v5.9: §5.1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the CJIS Security Policy section reference in the Source Authority against the version in force for the systems the Agency connects to IDACS. §5.1 (Information Exchange Agreements) is cited as the baseline; extend to access-control, training, or personnel-security sections if the Agency's scope reaches them.</w:t>
            </w:r>
          </w:p>
          <w:p>
            <w:pPr>
              <w:spacing w:after="140"/>
            </w:pPr>
            <w:r>
              <w:rPr>
                <w:rFonts w:ascii="Aptos" w:cs="Aptos" w:eastAsia="Aptos" w:hAnsi="Aptos"/>
                <w:i/>
                <w:iCs/>
                <w:color w:val="595959"/>
                <w:sz w:val="24"/>
                <w:szCs w:val="24"/>
              </w:rPr>
              <w:t>Cross-referenced artifacts use their Tracker names: Risk Register, Master Asset Inventory, Data Classification Policy, Document Handling Standard, Incident Response Plan, Cybersecurity Training Plan, Policy Review &amp; Approval Log, IT Support Accountability Agreement. Confirm names hold when those artifacts are finalized.</w:t>
            </w:r>
          </w:p>
          <w:p>
            <w:pPr>
              <w:spacing w:after="140"/>
            </w:pPr>
            <w:r>
              <w:rPr>
                <w:rFonts w:ascii="Aptos" w:cs="Aptos" w:eastAsia="Aptos" w:hAnsi="Aptos"/>
                <w:i/>
                <w:iCs/>
                <w:color w:val="595959"/>
                <w:sz w:val="24"/>
                <w:szCs w:val="24"/>
              </w:rPr>
              <w:t>Agency-supplied values left in brackets: {agencyName}, signing official, owner role, version, effective and review dates, and the asset-inventory and exception review cadences.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&amp; Privacy Policy - FORM</dc:title>
</cp:coreProperties>
</file>

<file path=docProps/custom.xml><?xml version="1.0" encoding="utf-8"?>
<Properties xmlns="http://schemas.openxmlformats.org/officeDocument/2006/custom-properties" xmlns:vt="http://schemas.openxmlformats.org/officeDocument/2006/docPropsVTypes"/>
</file>