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Access Control Policy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{agencyName}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{signingOfficialTitle}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{effectiveDate}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{effectiveDate2}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{roleTitle}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Internal / CJIS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«Minimum for Policy artifacts. Appended “ / CJIS” because access to IDACS-reached systems is in scope. Your agency may raise but not lower this.»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This policy defines who may access which systems, under what conditions, and through what approval. Replace every [BRACKETED] field, follow the « » guidance,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Placeholder key: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[BRACKETED]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fill in   ·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[REQUIRED]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(bold) = required field   ·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 »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It covers human and non-human accounts alike. The Service &amp; Cloud Accounts section is required: leave it in even if the Agency has only a few service accounts today.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«Two or three sentences: what this policy governs and why the Agency maintains it. Name the outcome, not the activity.»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governs access to the Agency's systems and data so that each person and each automated account has only the access it needs, granted through a defined approval, and removed when no longer needed. Least privilege is the default. The aim is to keep public-safety systems available and their data protected against misuse.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and what the policy covers, and what it excludes. State exclusions explicitly.»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Applies to: all Agency personnel, contractors, and vendors who hold or grant access, and to every account type: user, administrative, service, cloud, vendor, and remote.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Covers: all public-safety systems and the accounts that reach them, including CAD, call handling, GIS, and systems reached through IDACS.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Excludes: [systems owned and operated solely by another agency under a separate agreement, if any].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Definitions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terms this policy uses with a narrower meaning than common usage. Do not define common operational terms (CAD, RMS, ESInet, dispatcher). Delete this section if not needed.»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account: a non-human account used by a system or application, not by a person.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Privileged account: an account with administrative rights over a system, application, or other accounts.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Policy Statement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«The enforceable core, as numbered statements. Use “The Agency shall…” / “Personnel are responsible for…”. One requirement per statement.»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Agency systems is granted only after the {directorName} or a delegated approver authorizes it, and only at the least privilege the role requires.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User accounts are unique to one person; shared logins are not permitted on systems that support individual accounts.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Administrative and other privileged accounts are limited to named roles, used only for privileged work, and reviewed at least {reviewCadence}.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Vendor and contractor access is time-bound, tied to a specific task, and removed when the work ends.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Remote access is allowed only through Agency-approved methods and is governed in addition by the Remote Access Policy.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reviewed on a set cadence and certified by the system or data owner; entitlements are recorded in the Access Entitlement Matrix.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is changed or removed promptly on role change or separation, following the account provisioning and deprovisioning workflow.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Access to systems reached through IDACS is governed in addition by the CJIS Handling Addendum below.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5. Service &amp; Cloud Accounts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«Required dedicated controls for non-human accounts. Keep this section even if few service accounts exist today.»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service and cloud account has a named owner (a role) accountable for it.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has a documented purpose and a defined lifespan, and is disabled when its purpose ends.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Each such account is scoped to the least privilege it needs and does not carry interactive-login rights unless required and approved.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Service and cloud accounts are reviewed at least {reviewCadence2} and recorded in the Privileged &amp; Service Account Inventory.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6. Roles &amp; Responsibilities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«Each role that carries a duty under this policy and what it owns. Roles, not names.»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{directorName}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Owns this policy, authorizes access, and approves exceptions.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{itSupport}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Provisions, changes, and removes access; maintains service and cloud accounts.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{systemOwnerRole}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Certifies periodic access reviews for the systems they own.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{allPersonnel}</w:t>
            </w:r>
          </w:p>
        </w:tc>
        <w:tc>
          <w:tcPr>
            <w:tcW w:type="dxa" w:w="6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Use only the access granted to them and report access that looks wrong.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7. Enforcement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compliance is monitored and what happens on violation. Reference the Agency’s corrective process; do not restate it.»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The {directorName} monitors compliance. Access granted outside this policy is revoked, and repeated violations are handled under the Agency's corrective-action process.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8. Exceptions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«Who may grant an exception, how it is requested and recorded, and how long it lasts before review.»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Exceptions require written approval from the {directorName}, must state the access affected and any compensating control, and expire after {period} unless renewed.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9. Review Schedule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«Review cadence and trigger events (annual at minimum; also on significant change). Name the owning role.»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This policy is reviewed at least annually and after any significant change to the Agency's systems or access model, by the {directorName}.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Adopt as written. The director approves access directly and county or vendor IT carries it out. Keep a simple list of service accounts and review access once a year.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A named coordinator tracks entitlements and runs the quarterly privileged-account review with county IT.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Run access through a formal request-and-certification process. Security maintains the entitlement matrix and the service-account inventory and reports review status to leadership.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CJIS Handling Addendum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«Optional. Include only if this policy touches CJIS-regulated data (in Indiana, typically via IDACS). Do not restate the CJIS Security Policy; reference it. Delete if not applicable.»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CJIS Handling: Access to systems carrying CJIS-regulated data, reached in Indiana through IDACS, is governed by the FBI CJIS Security Policy §5.5 (Access Control) and 240 IAC 5 in addition to the controls above.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NENA-STA-040.2-2024: §6.2, §6.2.1, §6.2.1.5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NIST SP 800-53 Rev. 5: AC-1, AC-2, AC-3, AC-5, AC-6, AC-17, AC-20, IA-2, IA-4, IA-5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Indiana statutes and administrative code:</w:t>
            </w:r>
          </w:p>
          <w:p>
            <w:pPr>
              <w:spacing w:after="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   240 IAC 5: IDACS Security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>CJIS Security Policy v5.9: §5.5 (Access Control; CJIS-regulated data in scope,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{approvingOfficialTitle}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{ownerRole}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{version2}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{effectiveDate3}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{reviewerRole}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{revisionNote}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color w:val="1B3A5C"/>
                <w:sz w:val="24"/>
                <w:szCs w:val="24"/>
              </w:rPr>
              <w:t xml:space="preserve">Drafter’s note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The Service &amp; Cloud Accounts section satisfies assessment question 2A-6 (a dedicated service/cloud-account policy with owner, purpose, lifespan, privilege scope, and review cadence). Keep it as a named section; do not fold it back into the general statements.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Cross-referenced artifacts use their Tracker names: Access Entitlement Matrix, Remote Access Policy, Privileged &amp; Service Account Inventory, and the account provisioning and deprovisioning workflow.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>Agency-supplied values left in brackets: review cadences, exception period, and the named approver role.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2026-06-01T15:29:11.401Z</dcterms:created>
  <dcterms:modified xsi:type="dcterms:W3CDTF">2026-06-01T15:29:11.401Z</dcterms:modified>
  <dc:title xmlns:dc="http://purl.org/dc/elements/1.1/">Access Control Policy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