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CJIS Data Handling Addendum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hAnsi="Aptos" w:cs="Aptos"/>
                <w:b/>
                <w:i w:val="0"/>
                <w:sz w:val="24"/>
              </w:rPr>
              <w:t xml:space="preserve">Authority: </w:t>
            </w:r>
            <w:r>
              <w:rPr>
                <w:rFonts w:ascii="Aptos" w:hAnsi="Aptos" w:cs="Aptos"/>
                <w:b w:val="0"/>
                <w:i w:val="0"/>
                <w:sz w:val="24"/>
              </w:rPr>
              <w:t xml:space="preserve">Adopted by </w:t>
            </w:r>
            <w:r>
              <w:rPr>
                <w:rFonts w:ascii="Aptos" w:hAnsi="Aptos" w:cs="Aptos"/>
                <w:b w:val="0"/>
                <w:i w:val="0"/>
                <w:sz w:val="24"/>
                <w:b/>
                <w:bCs/>
              </w:rPr>
              <w:t xml:space="preserve">{agencyName}</w:t>
            </w:r>
            <w:r>
              <w:rPr>
                <w:rFonts w:ascii="Aptos" w:hAnsi="Aptos" w:cs="Aptos"/>
                <w:b w:val="0"/>
                <w:i w:val="0"/>
                <w:sz w:val="24"/>
              </w:rPr>
              <w:t xml:space="preserve"> under the authority of </w:t>
            </w:r>
            <w:r>
              <w:rPr>
                <w:rFonts w:ascii="Aptos" w:hAnsi="Aptos" w:cs="Aptos"/>
                <w:b w:val="0"/>
                <w:i w:val="0"/>
                <w:sz w:val="24"/>
                <w:b/>
                <w:bCs/>
              </w:rPr>
              <w:t xml:space="preserve">{signingOfficialTitle}</w:t>
            </w:r>
            <w:r>
              <w:rPr>
                <w:rFonts w:ascii="Aptos" w:hAnsi="Aptos" w:cs="Aptos"/>
                <w:b w:val="0"/>
                <w:i w:val="0"/>
                <w:sz w:val="24"/>
              </w:rPr>
              <w:t xml:space="preserve">.</w:t>
            </w:r>
          </w:p>
          <w:p>
            <w:pPr>
              <w:spacing w:after="60"/>
            </w:pPr>
            <w:r>
              <w:rPr>
                <w:rFonts w:ascii="Aptos" w:hAnsi="Aptos" w:cs="Aptos"/>
                <w:b/>
                <w:i w:val="0"/>
                <w:sz w:val="24"/>
              </w:rPr>
              <w:t xml:space="preserve">Version: </w:t>
            </w:r>
            <w:r>
              <w:rPr>
                <w:rFonts w:ascii="Aptos" w:hAnsi="Aptos" w:cs="Aptos"/>
                <w:b w:val="0"/>
                <w:i w:val="0"/>
                <w:sz w:val="24"/>
              </w:rPr>
              <w:t>{version}</w:t>
            </w:r>
            <w:r>
              <w:rPr>
                <w:rFonts w:ascii="Aptos" w:hAnsi="Aptos" w:cs="Aptos"/>
                <w:b/>
                <w:i w:val="0"/>
                <w:sz w:val="24"/>
              </w:rPr>
              <w:t xml:space="preserve">    Effective Date: </w:t>
            </w:r>
            <w:r>
              <w:rPr>
                <w:rFonts w:ascii="Aptos" w:hAnsi="Aptos" w:cs="Aptos"/>
                <w:b w:val="0"/>
                <w:i w:val="0"/>
                <w:sz w:val="24"/>
              </w:rPr>
              <w:t>{effectiveDate}</w:t>
            </w:r>
            <w:r>
              <w:rPr>
                <w:rFonts w:ascii="Aptos" w:hAnsi="Aptos" w:cs="Aptos"/>
                <w:b/>
                <w:i w:val="0"/>
                <w:sz w:val="24"/>
              </w:rPr>
              <w:t xml:space="preserve">    Next Review: </w:t>
            </w:r>
            <w:r>
              <w:rPr>
                <w:rFonts w:ascii="Aptos" w:hAnsi="Aptos" w:cs="Aptos"/>
                <w:b w:val="0"/>
                <w:i w:val="0"/>
                <w:sz w:val="24"/>
              </w:rPr>
              <w:t>{effectiveDate2}</w:t>
            </w:r>
          </w:p>
          <w:p>
            <w:pPr>
              <w:spacing w:after="60"/>
            </w:pPr>
            <w:r>
              <w:rPr>
                <w:rFonts w:ascii="Aptos" w:hAnsi="Aptos" w:cs="Aptos"/>
                <w:b/>
                <w:i w:val="0"/>
                <w:sz w:val="24"/>
              </w:rPr>
              <w:t xml:space="preserve">Owner: </w:t>
            </w:r>
            <w:r>
              <w:rPr>
                <w:rFonts w:ascii="Aptos" w:hAnsi="Aptos" w:cs="Aptos"/>
                <w:b w:val="0"/>
                <w:i w:val="0"/>
                <w:sz w:val="24"/>
              </w:rPr>
              <w:t>{cybersecurityPrivacyLead}</w:t>
            </w:r>
            <w:r>
              <w:rPr>
                <w:rFonts w:ascii="Aptos" w:hAnsi="Aptos" w:cs="Aptos"/>
                <w:b w:val="0"/>
                <w:i/>
                <w:color w:val="595959"/>
                <w:sz w:val="24"/>
              </w:rPr>
              <w:t xml:space="preserve">   « use a role, not a person's name »</w:t>
            </w:r>
          </w:p>
          <w:p>
            <w:pPr>
              <w:spacing w:after="20"/>
            </w:pPr>
            <w:r>
              <w:rPr>
                <w:rFonts w:ascii="Aptos" w:hAnsi="Aptos" w:cs="Aptos"/>
                <w:b/>
                <w:i w:val="0"/>
                <w:sz w:val="24"/>
              </w:rPr>
              <w:t xml:space="preserve">Classification: </w:t>
            </w:r>
            <w:r>
              <w:rPr>
                <w:rFonts w:ascii="Aptos" w:hAnsi="Aptos" w:cs="Aptos"/>
                <w:b w:val="0"/>
                <w:i w:val="0"/>
                <w:sz w:val="24"/>
              </w:rPr>
              <w:t>Internal / CJIS</w:t>
            </w:r>
          </w:p>
          <w:p>
            <w:pPr>
              <w:spacing w:after="0"/>
            </w:pPr>
            <w:r>
              <w:rPr>
                <w:rFonts w:ascii="Aptos" w:hAnsi="Aptos" w:cs="Aptos"/>
                <w:b w:val="0"/>
                <w:i/>
                <w:color w:val="595959"/>
                <w:sz w:val="24"/>
              </w:rPr>
              <w:t>« Minimum for this addendum. Your agency may raise but not lower it. The / CJIS marker signals that CJIS Security Policy handling applies. »</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hAnsi="Aptos" w:cs="Aptos"/>
                <w:b/>
                <w:i w:val="0"/>
                <w:color w:val="1B3A5C"/>
                <w:sz w:val="24"/>
              </w:rPr>
              <w:t xml:space="preserve">How to use this template </w:t>
            </w:r>
            <w:r>
              <w:rPr>
                <w:rFonts w:ascii="Aptos" w:hAnsi="Aptos" w:cs="Aptos"/>
                <w:b w:val="0"/>
                <w:i w:val="0"/>
                <w:color w:val="595959"/>
                <w:sz w:val="24"/>
              </w:rPr>
              <w:t>(delete this box before publishing)</w:t>
            </w:r>
          </w:p>
          <w:p>
            <w:pPr>
              <w:spacing w:after="140"/>
            </w:pPr>
            <w:r>
              <w:rPr>
                <w:rFonts w:ascii="Aptos" w:hAnsi="Aptos" w:cs="Aptos"/>
                <w:b w:val="0"/>
                <w:i w:val="0"/>
                <w:sz w:val="24"/>
              </w:rPr>
              <w:t>This template is ready to adopt. Replace every [BRACKETED] field with your agency's information, follow the « » guidance notes, and delete every « » note and this box before you publish.</w:t>
            </w:r>
          </w:p>
          <w:p>
            <w:pPr>
              <w:spacing w:after="0"/>
            </w:pPr>
            <w:r>
              <w:rPr>
                <w:rFonts w:ascii="Aptos" w:hAnsi="Aptos" w:cs="Aptos"/>
                <w:b w:val="0"/>
                <w:i w:val="0"/>
                <w:sz w:val="24"/>
              </w:rPr>
              <w:t>Placeholder key: [BRACKETED] = fill in   ·   [REQUIRED] (bold) = required field   ·   « » = guidance to delete.</w:t>
            </w:r>
          </w:p>
          <w:p>
            <w:pPr>
              <w:spacing w:after="140"/>
            </w:pPr>
            <w:r>
              <w:rPr>
                <w:rFonts w:ascii="Aptos" w:hAnsi="Aptos" w:cs="Aptos"/>
                <w:b w:val="0"/>
                <w:i w:val="0"/>
                <w:sz w:val="24"/>
              </w:rPr>
              <w:t>Keep the body director-readable. Push technical detail and contact lists to an appendix. Source Authority, approval signatures, and revision history stay at the foot of the document.</w:t>
            </w:r>
          </w:p>
        </w:tc>
      </w:tr>
    </w:tbl>
    <w:p>
      <w:pPr>
        <w:pStyle w:val="Heading2"/>
        <w:spacing w:after="100" w:before="220"/>
      </w:pPr>
      <w:r>
        <w:rPr>
          <w:rFonts w:ascii="Aptos" w:cs="Aptos" w:eastAsia="Aptos" w:hAnsi="Aptos"/>
          <w:b/>
          <w:bCs/>
          <w:color w:val="1B3A5C"/>
          <w:sz w:val="26"/>
          <w:szCs w:val="26"/>
        </w:rPr>
        <w:t xml:space="preserve">1. Purpose</w:t>
      </w:r>
    </w:p>
    <w:p>
      <w:pPr>
        <w:spacing w:after="140"/>
      </w:pPr>
      <w:r>
        <w:rPr>
          <w:rFonts w:ascii="Aptos" w:cs="Aptos" w:eastAsia="Aptos" w:hAnsi="Aptos"/>
          <w:i/>
          <w:iCs/>
          <w:color w:val="595959"/>
          <w:sz w:val="24"/>
          <w:szCs w:val="24"/>
        </w:rPr>
        <w:t xml:space="preserve">«Two or three sentences: what this policy governs and why the Agency maintains it. Name the outcome, not the activity.»</w:t>
      </w:r>
    </w:p>
    <w:p>
      <w:pPr>
        <w:spacing w:after="120" w:before="0"/>
      </w:pPr>
      <w:r>
        <w:rPr>
          <w:rFonts w:ascii="Aptos" w:cs="Aptos" w:eastAsia="Aptos" w:hAnsi="Aptos"/>
          <w:b w:val="false"/>
          <w:bCs w:val="false"/>
          <w:i w:val="false"/>
          <w:iCs w:val="false"/>
          <w:sz w:val="24"/>
          <w:szCs w:val="24"/>
        </w:rPr>
        <w:t>This addendum sets the additional handling that applies to Criminal Justice Information (CJI) and other CJIS-regulated data, on top of the Agency's base data classification. It extends the Data Classification Policy and the Cybersecurity &amp; Privacy Policy and does not stand alone. In Indiana, CJIS-regulated data is reached through IDACS. This addendum names the CJIS Security Policy handling that applies; it does not restate it.</w:t>
      </w:r>
    </w:p>
    <w:p>
      <w:pPr>
        <w:pStyle w:val="Heading2"/>
        <w:spacing w:after="100" w:before="220"/>
      </w:pPr>
      <w:r>
        <w:rPr>
          <w:rFonts w:ascii="Aptos" w:cs="Aptos" w:eastAsia="Aptos" w:hAnsi="Aptos"/>
          <w:b/>
          <w:bCs/>
          <w:color w:val="1B3A5C"/>
          <w:sz w:val="26"/>
          <w:szCs w:val="26"/>
        </w:rPr>
        <w:t xml:space="preserve">2. Scope</w:t>
      </w:r>
    </w:p>
    <w:p>
      <w:pPr>
        <w:spacing w:after="140"/>
      </w:pPr>
      <w:r>
        <w:rPr>
          <w:rFonts w:ascii="Aptos" w:cs="Aptos" w:eastAsia="Aptos" w:hAnsi="Aptos"/>
          <w:i/>
          <w:iCs/>
          <w:color w:val="595959"/>
          <w:sz w:val="24"/>
          <w:szCs w:val="24"/>
        </w:rPr>
        <w:t xml:space="preserve">«Who and what the policy covers, and what it excludes. State exclusions explicitly.»</w:t>
      </w:r>
    </w:p>
    <w:p>
      <w:pPr>
        <w:pStyle w:val="ListParagraph"/>
        <w:numPr>
          <w:ilvl w:val="0"/>
          <w:numId w:val="2"/>
        </w:numPr>
        <w:spacing w:after="60"/>
      </w:pPr>
      <w:r>
        <w:rPr>
          <w:rFonts w:ascii="Aptos" w:cs="Aptos" w:eastAsia="Aptos" w:hAnsi="Aptos"/>
          <w:b w:val="false"/>
          <w:bCs w:val="false"/>
          <w:i w:val="false"/>
          <w:iCs w:val="false"/>
          <w:sz w:val="24"/>
          <w:szCs w:val="24"/>
        </w:rPr>
        <w:t>Applies to: all personnel and vendors with access to CJIS-regulated data or to IDACS</w:t>
      </w:r>
    </w:p>
    <w:p>
      <w:pPr>
        <w:pStyle w:val="ListParagraph"/>
        <w:numPr>
          <w:ilvl w:val="0"/>
          <w:numId w:val="2"/>
        </w:numPr>
        <w:spacing w:after="60"/>
      </w:pPr>
      <w:r>
        <w:rPr>
          <w:rFonts w:ascii="Aptos" w:cs="Aptos" w:eastAsia="Aptos" w:hAnsi="Aptos"/>
          <w:b w:val="false"/>
          <w:bCs w:val="false"/>
          <w:i w:val="false"/>
          <w:iCs w:val="false"/>
          <w:sz w:val="24"/>
          <w:szCs w:val="24"/>
        </w:rPr>
        <w:t>Covers: Criminal Justice Information (CJI) at rest, in transit, in use, and in disposal, wherever it is reached through IDACS</w:t>
      </w:r>
    </w:p>
    <w:p>
      <w:pPr>
        <w:pStyle w:val="ListParagraph"/>
        <w:numPr>
          <w:ilvl w:val="0"/>
          <w:numId w:val="2"/>
        </w:numPr>
        <w:spacing w:after="60"/>
      </w:pPr>
      <w:r>
        <w:rPr>
          <w:rFonts w:ascii="Aptos" w:cs="Aptos" w:eastAsia="Aptos" w:hAnsi="Aptos"/>
          <w:b w:val="false"/>
          <w:bCs w:val="false"/>
          <w:i w:val="false"/>
          <w:iCs w:val="false"/>
          <w:sz w:val="24"/>
          <w:szCs w:val="24"/>
        </w:rPr>
        <w:t>Excludes: systems that neither store nor access CJIS-regulated data</w:t>
      </w:r>
    </w:p>
    <w:p>
      <w:pPr>
        <w:pStyle w:val="Heading2"/>
        <w:spacing w:after="100" w:before="220"/>
      </w:pPr>
      <w:r>
        <w:rPr>
          <w:rFonts w:ascii="Aptos" w:cs="Aptos" w:eastAsia="Aptos" w:hAnsi="Aptos"/>
          <w:b/>
          <w:bCs/>
          <w:color w:val="1B3A5C"/>
          <w:sz w:val="26"/>
          <w:szCs w:val="26"/>
        </w:rPr>
        <w:t xml:space="preserve">3. Definitions</w:t>
      </w:r>
    </w:p>
    <w:p>
      <w:pPr>
        <w:spacing w:after="140"/>
      </w:pPr>
      <w:r>
        <w:rPr>
          <w:rFonts w:ascii="Aptos" w:cs="Aptos" w:eastAsia="Aptos" w:hAnsi="Aptos"/>
          <w:i/>
          <w:iCs/>
          <w:color w:val="595959"/>
          <w:sz w:val="24"/>
          <w:szCs w:val="24"/>
        </w:rPr>
        <w:t xml:space="preserve">«Optional. Include only terms this policy uses with a narrower meaning than common usage. Do not define common operational terms (CAD, RMS, ESInet, dispatcher). Delete this section if not needed.»</w:t>
      </w:r>
    </w:p>
    <w:p>
      <w:pPr>
        <w:spacing w:after="120" w:before="0"/>
      </w:pPr>
      <w:r>
        <w:rPr>
          <w:rFonts w:ascii="Aptos" w:cs="Aptos" w:eastAsia="Aptos" w:hAnsi="Aptos"/>
          <w:b w:val="false"/>
          <w:bCs w:val="false"/>
          <w:i w:val="false"/>
          <w:iCs w:val="false"/>
          <w:sz w:val="24"/>
          <w:szCs w:val="24"/>
        </w:rPr>
        <w:t>CJI (Criminal Justice Information): the data reached through IDACS and NCIC that the CJIS Security Policy protects.</w:t>
      </w:r>
    </w:p>
    <w:p>
      <w:pPr>
        <w:spacing w:after="120" w:before="0"/>
      </w:pPr>
      <w:r>
        <w:rPr>
          <w:rFonts w:ascii="Aptos" w:hAnsi="Aptos" w:cs="Aptos"/>
          <w:b w:val="0"/>
          <w:i w:val="0"/>
          <w:sz w:val="24"/>
        </w:rPr>
        <w:t>CHRI (Criminal History Record Information): the subset of CJI describing an individual's criminal history; handled at the most protective level.</w:t>
      </w:r>
    </w:p>
    <w:p>
      <w:pPr>
        <w:pStyle w:val="Heading2"/>
        <w:spacing w:after="100" w:before="220"/>
      </w:pPr>
      <w:r>
        <w:rPr>
          <w:rFonts w:ascii="Aptos" w:cs="Aptos" w:eastAsia="Aptos" w:hAnsi="Aptos"/>
          <w:b/>
          <w:bCs/>
          <w:color w:val="1B3A5C"/>
          <w:sz w:val="26"/>
          <w:szCs w:val="26"/>
        </w:rPr>
        <w:t xml:space="preserve">4. Policy Statement</w:t>
      </w:r>
    </w:p>
    <w:p>
      <w:pPr>
        <w:spacing w:after="140"/>
      </w:pPr>
      <w:r>
        <w:rPr>
          <w:rFonts w:ascii="Aptos" w:cs="Aptos" w:eastAsia="Aptos" w:hAnsi="Aptos"/>
          <w:i/>
          <w:iCs/>
          <w:color w:val="595959"/>
          <w:sz w:val="24"/>
          <w:szCs w:val="24"/>
        </w:rPr>
        <w:t xml:space="preserve">«The enforceable core, as numbered statements. Use “The Agency shall…” / “Personnel are responsible for…”. One requirement per statement.»</w:t>
      </w:r>
    </w:p>
    <w:p>
      <w:pPr>
        <w:pStyle w:val="ListParagraph"/>
        <w:numPr>
          <w:ilvl w:val="0"/>
          <w:numId w:val="300"/>
        </w:numPr>
        <w:spacing w:after="60"/>
      </w:pPr>
      <w:r>
        <w:rPr>
          <w:rFonts w:ascii="Aptos" w:cs="Aptos" w:eastAsia="Aptos" w:hAnsi="Aptos"/>
          <w:b w:val="false"/>
          <w:bCs w:val="false"/>
          <w:i w:val="false"/>
          <w:iCs w:val="false"/>
          <w:sz w:val="24"/>
          <w:szCs w:val="24"/>
        </w:rPr>
        <w:t>The Agency shall classify CJIS-regulated data at the level set in the Data Classification Policy, at minimum Restricted, and apply the additional CJIS Security Policy handling in this addendum on top of that classification.</w:t>
      </w:r>
    </w:p>
    <w:p>
      <w:pPr>
        <w:pStyle w:val="ListParagraph"/>
        <w:numPr>
          <w:ilvl w:val="0"/>
          <w:numId w:val="300"/>
        </w:numPr>
        <w:spacing w:after="60"/>
      </w:pPr>
      <w:r>
        <w:rPr>
          <w:rFonts w:ascii="Aptos" w:cs="Aptos" w:eastAsia="Aptos" w:hAnsi="Aptos"/>
          <w:b w:val="false"/>
          <w:bCs w:val="false"/>
          <w:i w:val="false"/>
          <w:iCs w:val="false"/>
          <w:sz w:val="24"/>
          <w:szCs w:val="24"/>
        </w:rPr>
        <w:t>The Agency shall protect CJI at rest and in transit using encryption that meets the Encryption Standards Document, and shall store, transport, and destroy CJI and the media that holds it under the Document Handling Standard.</w:t>
      </w:r>
    </w:p>
    <w:p>
      <w:pPr>
        <w:pStyle w:val="ListParagraph"/>
        <w:numPr>
          <w:ilvl w:val="0"/>
          <w:numId w:val="300"/>
        </w:numPr>
        <w:spacing w:after="60"/>
      </w:pPr>
      <w:r>
        <w:rPr>
          <w:rFonts w:ascii="Aptos" w:cs="Aptos" w:eastAsia="Aptos" w:hAnsi="Aptos"/>
          <w:b w:val="false"/>
          <w:bCs w:val="false"/>
          <w:i w:val="false"/>
          <w:iCs w:val="false"/>
          <w:sz w:val="24"/>
          <w:szCs w:val="24"/>
        </w:rPr>
        <w:t>The Agency shall restrict access to CJI to personnel who have completed CJIS Security Awareness Training and the personnel screening required by the Background Check &amp; Screening Policy, and shall authorize that access through the Access Control Policy.</w:t>
      </w:r>
    </w:p>
    <w:p>
      <w:pPr>
        <w:pStyle w:val="ListParagraph"/>
        <w:numPr>
          <w:ilvl w:val="0"/>
          <w:numId w:val="300"/>
        </w:numPr>
        <w:spacing w:after="60"/>
      </w:pPr>
      <w:r>
        <w:rPr>
          <w:rFonts w:ascii="Aptos" w:hAnsi="Aptos" w:cs="Aptos"/>
          <w:b w:val="0"/>
          <w:i w:val="0"/>
          <w:sz w:val="24"/>
        </w:rPr>
        <w:t>The Agency shall log access to CJI and retain those logs for at least the CJIS Security Policy minimum, as set in the Log Retention Schedule.</w:t>
      </w:r>
    </w:p>
    <w:p>
      <w:pPr>
        <w:pStyle w:val="ListParagraph"/>
        <w:numPr>
          <w:ilvl w:val="0"/>
          <w:numId w:val="300"/>
        </w:numPr>
        <w:spacing w:after="60"/>
      </w:pPr>
      <w:r>
        <w:rPr>
          <w:rFonts w:ascii="Aptos" w:hAnsi="Aptos" w:cs="Aptos"/>
          <w:b w:val="0"/>
          <w:i w:val="0"/>
          <w:sz w:val="24"/>
        </w:rPr>
        <w:t>The Agency shall bind any vendor with access to CJI to CJIS Security Policy handling through the Third-Party Access Agreement, including the CJIS Security Addendum and personnel screening.</w:t>
      </w:r>
    </w:p>
    <w:p>
      <w:pPr>
        <w:pStyle w:val="ListParagraph"/>
        <w:numPr>
          <w:ilvl w:val="0"/>
          <w:numId w:val="300"/>
        </w:numPr>
        <w:spacing w:after="60"/>
      </w:pPr>
      <w:r>
        <w:rPr>
          <w:rFonts w:ascii="Aptos" w:hAnsi="Aptos" w:cs="Aptos"/>
          <w:b w:val="0"/>
          <w:i w:val="0"/>
          <w:sz w:val="24"/>
        </w:rPr>
        <w:t>Personnel are responsible for handling CJI only on authorized systems and for reporting any suspected unauthorized disclosure under the Incident Response Plan.</w:t>
      </w:r>
    </w:p>
    <w:p>
      <w:pPr>
        <w:pStyle w:val="Heading2"/>
        <w:spacing w:after="100" w:before="220"/>
      </w:pPr>
      <w:r>
        <w:rPr>
          <w:rFonts w:ascii="Aptos" w:cs="Aptos" w:eastAsia="Aptos" w:hAnsi="Aptos"/>
          <w:b/>
          <w:bCs/>
          <w:color w:val="1B3A5C"/>
          <w:sz w:val="26"/>
          <w:szCs w:val="26"/>
        </w:rPr>
        <w:t xml:space="preserve">5. Roles &amp; Responsibilities</w:t>
      </w:r>
    </w:p>
    <w:p>
      <w:pPr>
        <w:spacing w:after="140"/>
      </w:pPr>
      <w:r>
        <w:rPr>
          <w:rFonts w:ascii="Aptos" w:cs="Aptos" w:eastAsia="Aptos" w:hAnsi="Aptos"/>
          <w:i/>
          <w:iCs/>
          <w:color w:val="595959"/>
          <w:sz w:val="24"/>
          <w:szCs w:val="24"/>
        </w:rPr>
        <w:t xml:space="preserve">«Each role that carries a duty under this policy and what it owns. Roles, not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Responsibility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{directorName}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Owns this addendum. Ensures CJIS obligations are met and the named TAC and LASO assignments stay current.</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{idacsTacLaso}</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The Terminal Agency Coordinator and Local Agency Security Officer. Administer IDACS access, implement CJIS controls, and report incidents to the CJIS Systems Officer.</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{itSupport}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Apply the technical controls: encryption of CJI, access restriction, and access logging.</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{allPersonnel}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Handle CJI only on authorized systems and only after required training and screening. Report suspected disclosure.</w:t>
            </w:r>
          </w:p>
        </w:tc>
      </w:tr>
    </w:tbl>
    <w:p>
      <w:pPr>
        <w:pStyle w:val="Heading2"/>
        <w:spacing w:after="100" w:before="220"/>
      </w:pPr>
      <w:r>
        <w:rPr>
          <w:rFonts w:ascii="Aptos" w:cs="Aptos" w:eastAsia="Aptos" w:hAnsi="Aptos"/>
          <w:b/>
          <w:bCs/>
          <w:color w:val="1B3A5C"/>
          <w:sz w:val="26"/>
          <w:szCs w:val="26"/>
        </w:rPr>
        <w:t xml:space="preserve">6. Enforcement</w:t>
      </w:r>
    </w:p>
    <w:p>
      <w:pPr>
        <w:spacing w:after="140"/>
      </w:pPr>
      <w:r>
        <w:rPr>
          <w:rFonts w:ascii="Aptos" w:cs="Aptos" w:eastAsia="Aptos" w:hAnsi="Aptos"/>
          <w:i/>
          <w:iCs/>
          <w:color w:val="595959"/>
          <w:sz w:val="24"/>
          <w:szCs w:val="24"/>
        </w:rPr>
        <w:t xml:space="preserve">«How compliance is monitored and what happens on violation. Reference the Agency’s corrective process; do not restate it.»</w:t>
      </w:r>
    </w:p>
    <w:p>
      <w:pPr>
        <w:spacing w:after="120" w:before="0"/>
      </w:pPr>
      <w:r>
        <w:rPr>
          <w:rFonts w:ascii="Aptos" w:cs="Aptos" w:eastAsia="Aptos" w:hAnsi="Aptos"/>
          <w:b w:val="false"/>
          <w:bCs w:val="false"/>
          <w:i w:val="false"/>
          <w:iCs w:val="false"/>
          <w:sz w:val="24"/>
          <w:szCs w:val="24"/>
        </w:rPr>
        <w:t>Compliance with this addendum is monitored by the {localAgencySecurityOfficerLaso} and reported to the {directorName}. A CJIS handling violation is treated as a security incident under the Incident Response Plan and may trigger notification of the CJIS Systems Officer and suspension of IDACS access.</w:t>
      </w:r>
    </w:p>
    <w:p>
      <w:pPr>
        <w:pStyle w:val="Heading2"/>
        <w:spacing w:after="100" w:before="220"/>
      </w:pPr>
      <w:r>
        <w:rPr>
          <w:rFonts w:ascii="Aptos" w:cs="Aptos" w:eastAsia="Aptos" w:hAnsi="Aptos"/>
          <w:b/>
          <w:bCs/>
          <w:color w:val="1B3A5C"/>
          <w:sz w:val="26"/>
          <w:szCs w:val="26"/>
        </w:rPr>
        <w:t>7. No Exceptions</w:t>
      </w:r>
    </w:p>
    <w:p>
      <w:pPr>
        <w:spacing w:after="140"/>
      </w:pPr>
      <w:r>
        <w:rPr>
          <w:rFonts w:ascii="Aptos" w:cs="Aptos" w:eastAsia="Aptos" w:hAnsi="Aptos"/>
          <w:i/>
          <w:iCs/>
          <w:color w:val="595959"/>
          <w:sz w:val="24"/>
          <w:szCs w:val="24"/>
        </w:rPr>
        <w:t>« CJIS Security Policy handling is mandatory. State the no-exception rule; do not describe an exception process. »</w:t>
      </w:r>
    </w:p>
    <w:p>
      <w:pPr>
        <w:spacing w:after="120" w:before="0"/>
      </w:pPr>
      <w:r>
        <w:rPr>
          <w:rFonts w:ascii="Aptos" w:cs="Aptos" w:eastAsia="Aptos" w:hAnsi="Aptos"/>
          <w:b w:val="false"/>
          <w:bCs w:val="false"/>
          <w:i w:val="false"/>
          <w:iCs w:val="false"/>
          <w:sz w:val="24"/>
          <w:szCs w:val="24"/>
        </w:rPr>
        <w:t>There is no exception process. CJIS Security Policy handling is mandatory for all CJIS-regulated data. Where a system cannot meet a CJIS requirement, it does not store or access CJIS-regulated data until it can.</w:t>
      </w:r>
    </w:p>
    <w:p>
      <w:pPr>
        <w:pStyle w:val="Heading2"/>
        <w:spacing w:after="100" w:before="220"/>
      </w:pPr>
      <w:r>
        <w:rPr>
          <w:rFonts w:ascii="Aptos" w:cs="Aptos" w:eastAsia="Aptos" w:hAnsi="Aptos"/>
          <w:b/>
          <w:bCs/>
          <w:color w:val="1B3A5C"/>
          <w:sz w:val="26"/>
          <w:szCs w:val="26"/>
        </w:rPr>
        <w:t xml:space="preserve">8. Review Schedule</w:t>
      </w:r>
    </w:p>
    <w:p>
      <w:pPr>
        <w:spacing w:after="140"/>
      </w:pPr>
      <w:r>
        <w:rPr>
          <w:rFonts w:ascii="Aptos" w:cs="Aptos" w:eastAsia="Aptos" w:hAnsi="Aptos"/>
          <w:i/>
          <w:iCs/>
          <w:color w:val="595959"/>
          <w:sz w:val="24"/>
          <w:szCs w:val="24"/>
        </w:rPr>
        <w:t xml:space="preserve">«Review cadence and trigger events (annual at minimum; also on significant change). Name the owning role.»</w:t>
      </w:r>
    </w:p>
    <w:p>
      <w:pPr>
        <w:spacing w:after="120" w:before="0"/>
      </w:pPr>
      <w:r>
        <w:rPr>
          <w:rFonts w:ascii="Aptos" w:cs="Aptos" w:eastAsia="Aptos" w:hAnsi="Aptos"/>
          <w:b w:val="false"/>
          <w:bCs w:val="false"/>
          <w:i w:val="false"/>
          <w:iCs w:val="false"/>
          <w:sz w:val="24"/>
          <w:szCs w:val="24"/>
        </w:rPr>
        <w:t>This addendum is reviewed at least {reviewCadence}, and after any change to the CJIS Security Policy or IDACS requirements, by the {ownerRole}.</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One person, often the director, is the IDACS TAC and handles CJI by hand. Access stays limited to the few authorized users; screening and training are tracked on paper. County or State Police IDACS support supplies the technical controls.</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A named security coordinator acts as LASO and the TAC role is assigned with a backup. Encryption and logging of CJI run on a set cadence with shared county IT.</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A dedicated security role owns CJIS compliance, with TAC and LASO as separate assignments. Controls are enforced through the identity and logging systems and reviewed on a schedule.</w:t>
            </w:r>
          </w:p>
        </w:tc>
      </w:tr>
    </w:tbl>
    <w:p>
      <w:pPr>
        <w:pStyle w:val="Heading2"/>
        <w:spacing w:after="100" w:before="220"/>
      </w:pP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hAnsi="Aptos" w:cs="Aptos"/>
                <w:b/>
                <w:i w:val="0"/>
                <w:color w:val="1B3A5C"/>
                <w:sz w:val="24"/>
              </w:rPr>
              <w:t>Source Authority</w:t>
            </w:r>
          </w:p>
          <w:p>
            <w:pPr>
              <w:spacing w:after="140"/>
            </w:pPr>
            <w:r>
              <w:rPr>
                <w:rFonts w:ascii="Aptos" w:hAnsi="Aptos" w:cs="Aptos"/>
                <w:b w:val="0"/>
                <w:i/>
                <w:color w:val="595959"/>
                <w:sz w:val="24"/>
              </w:rPr>
              <w:t>List only the authorities that map to content in this artifact. Group by authority; order sections and control IDs numerically; add no padding.</w:t>
            </w:r>
          </w:p>
          <w:p>
            <w:pPr>
              <w:spacing w:after="40" w:before="0"/>
            </w:pPr>
            <w:r>
              <w:rPr>
                <w:rFonts w:ascii="Aptos" w:hAnsi="Aptos" w:cs="Aptos"/>
                <w:b w:val="0"/>
                <w:i w:val="0"/>
                <w:sz w:val="24"/>
              </w:rPr>
              <w:t>NENA-STA-040.2-2024: §4.1.4, §4.2.2, §4.2.5</w:t>
            </w:r>
          </w:p>
          <w:p>
            <w:pPr>
              <w:spacing w:after="40" w:before="0"/>
            </w:pPr>
            <w:r>
              <w:rPr>
                <w:rFonts w:ascii="Aptos" w:hAnsi="Aptos" w:cs="Aptos"/>
                <w:b w:val="0"/>
                <w:i w:val="0"/>
                <w:sz w:val="24"/>
              </w:rPr>
              <w:t>NIST SP 800-53 Rev. 5: AC-3, AC-21, MP-4, SC-8, SC-28</w:t>
            </w:r>
          </w:p>
          <w:p>
            <w:pPr>
              <w:spacing w:after="40" w:before="0"/>
            </w:pPr>
            <w:r>
              <w:rPr>
                <w:rFonts w:ascii="Aptos" w:hAnsi="Aptos" w:cs="Aptos"/>
                <w:b w:val="0"/>
                <w:i w:val="0"/>
                <w:sz w:val="24"/>
              </w:rPr>
              <w:t>Indiana statutes and administrative code:</w:t>
            </w:r>
          </w:p>
          <w:p>
            <w:pPr>
              <w:spacing w:after="0" w:before="0"/>
            </w:pPr>
            <w:r>
              <w:rPr>
                <w:rFonts w:ascii="Aptos" w:hAnsi="Aptos" w:cs="Aptos"/>
                <w:b w:val="0"/>
                <w:i w:val="0"/>
                <w:sz w:val="24"/>
              </w:rPr>
              <w:t xml:space="preserve">    240 IAC 5: IDACS Security</w:t>
            </w:r>
          </w:p>
          <w:p>
            <w:pPr>
              <w:spacing w:after="0" w:before="0"/>
            </w:pPr>
            <w:r>
              <w:rPr>
                <w:rFonts w:ascii="Aptos" w:hAnsi="Aptos" w:cs="Aptos"/>
                <w:b w:val="0"/>
                <w:i w:val="0"/>
                <w:sz w:val="24"/>
              </w:rPr>
              <w:t>CJIS Security Policy v5.9: §5.5, §5.9, §5.10 (CJIS-regulated data in scope, via IDACS)</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{approvingOfficialTitle}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{ownerRole2}</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{version2}</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{effectiveDate3}</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{reviewerRole}</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{revisionNote}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hAnsi="Aptos" w:cs="Aptos"/>
                <w:b/>
                <w:i w:val="0"/>
                <w:color w:val="1B3A5C"/>
                <w:sz w:val="24"/>
              </w:rPr>
              <w:t xml:space="preserve">Drafter's note </w:t>
            </w:r>
            <w:r>
              <w:rPr>
                <w:rFonts w:ascii="Aptos" w:hAnsi="Aptos" w:cs="Aptos"/>
                <w:b w:val="0"/>
                <w:i w:val="0"/>
                <w:color w:val="595959"/>
                <w:sz w:val="24"/>
              </w:rPr>
              <w:t>(internal, delete before publishing)</w:t>
            </w:r>
          </w:p>
          <w:p>
            <w:pPr>
              <w:spacing w:after="140"/>
            </w:pPr>
            <w:r>
              <w:rPr>
                <w:rFonts w:ascii="Aptos" w:hAnsi="Aptos" w:cs="Aptos"/>
                <w:b w:val="0"/>
                <w:i w:val="0"/>
                <w:sz w:val="24"/>
              </w:rPr>
              <w:t>This addendum is the standalone home of the CJIS handling overlay; other artifacts reference it by name rather than restating it. Per the project's body-citation exception, CJIS and IDACS regimes are named in the body while the granular CJIS §5.x control IDs stay in the Source Authority footer.</w:t>
            </w:r>
          </w:p>
          <w:p>
            <w:pPr>
              <w:spacing w:after="140"/>
            </w:pPr>
            <w:r>
              <w:rPr>
                <w:rFonts w:ascii="Aptos" w:hAnsi="Aptos" w:cs="Aptos"/>
                <w:b w:val="0"/>
                <w:i w:val="0"/>
                <w:sz w:val="24"/>
              </w:rPr>
              <w:t>Confirm the CJIS Security Policy sections against the version in force for the systems the Agency connects to IDACS. Agency-supplied values in brackets: {agencyName}, owner and signing roles, version and dates, and the TAC / LASO role assignments.</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300">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2026-06-01T15:29:11.401Z</dcterms:created>
  <dcterms:modified xsi:type="dcterms:W3CDTF">2026-06-01T15:29:11.401Z</dcterms:modified>
  <dc:title xmlns:dc="http://purl.org/dc/elements/1.1/">CJIS Data Handling Addendum - FORM</dc:title>
</cp:coreProperties>
</file>

<file path=docProps/custom.xml><?xml version="1.0" encoding="utf-8"?>
<Properties xmlns="http://schemas.openxmlformats.org/officeDocument/2006/custom-properties" xmlns:vt="http://schemas.openxmlformats.org/officeDocument/2006/docPropsVTypes"/>
</file>