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Board / Leadership Security Reporting Template</w:t>
      </w:r>
    </w:p>
    <w:p>
      <w:pPr>
        <w:spacing w:after="140"/>
      </w:pPr>
      <w:r>
        <w:rPr>
          <w:rFonts w:ascii="Aptos" w:cs="Aptos" w:eastAsia="Aptos" w:hAnsi="Aptos"/>
          <w:i/>
          <w:iCs/>
          <w:color w:val="595959"/>
          <w:sz w:val="24"/>
          <w:szCs w:val="24"/>
        </w:rPr>
        <w:t xml:space="preserve">«Replace with the artifact name exactly as it appears in the Tracker (e.g., Annual Security Assessment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Cover</w:t>
            </w:r>
          </w:p>
          <w:p>
            <w:pPr>
              <w:spacing w:after="60"/>
            </w:pPr>
            <w:r>
              <w:rPr>
                <w:rFonts w:ascii="Aptos" w:hAnsi="Aptos"/>
                <w:b/>
                <w:sz w:val="24"/>
              </w:rPr>
              <w:t xml:space="preserve">Reporting period: </w:t>
            </w:r>
            <w:r>
              <w:rPr>
                <w:rFonts w:ascii="Aptos" w:hAnsi="Aptos"/>
                <w:b w:val="0"/>
                <w:sz w:val="24"/>
              </w:rPr>
              <w:t xml:space="preserve">{period}      </w:t>
            </w:r>
            <w:r>
              <w:rPr>
                <w:rFonts w:ascii="Aptos" w:hAnsi="Aptos"/>
                <w:b/>
                <w:sz w:val="24"/>
              </w:rPr>
              <w:t xml:space="preserve">Prepared by (role): </w:t>
            </w:r>
            <w:r>
              <w:rPr>
                <w:rFonts w:ascii="Aptos" w:hAnsi="Aptos"/>
                <w:b w:val="0"/>
                <w:sz w:val="24"/>
              </w:rPr>
              <w:t>{reviewerRole}</w:t>
            </w:r>
          </w:p>
          <w:p>
            <w:pPr>
              <w:spacing w:after="60"/>
            </w:pPr>
            <w:r>
              <w:rPr>
                <w:rFonts w:ascii="Aptos" w:hAnsi="Aptos"/>
                <w:b/>
                <w:sz w:val="24"/>
              </w:rPr>
              <w:t xml:space="preserve">Audience: </w:t>
            </w:r>
            <w:r>
              <w:rPr>
                <w:rFonts w:ascii="Aptos" w:hAnsi="Aptos"/>
                <w:b w:val="0"/>
                <w:sz w:val="24"/>
              </w:rPr>
              <w:t>{boardLeadershipBody}</w:t>
            </w:r>
          </w:p>
          <w:p>
            <w:pPr>
              <w:spacing w:after="60"/>
            </w:pPr>
            <w:r>
              <w:rPr>
                <w:rFonts w:ascii="Aptos" w:hAnsi="Aptos"/>
                <w:b/>
                <w:sz w:val="24"/>
              </w:rPr>
              <w:t xml:space="preserve">Owner: </w:t>
            </w:r>
            <w:r>
              <w:rPr>
                <w:rFonts w:ascii="Aptos" w:hAnsi="Aptos"/>
                <w:b w:val="0"/>
                <w:sz w:val="24"/>
              </w:rPr>
              <w:t>{reviewerRole2}</w:t>
            </w:r>
          </w:p>
          <w:p>
            <w:pPr>
              <w:spacing w:after="20"/>
            </w:pPr>
            <w:r>
              <w:rPr>
                <w:rFonts w:ascii="Aptos" w:hAnsi="Aptos"/>
                <w:b/>
                <w:sz w:val="24"/>
              </w:rPr>
              <w:t xml:space="preserve">Classification: </w:t>
            </w:r>
            <w:r>
              <w:rPr>
                <w:rFonts w:ascii="Aptos" w:hAnsi="Aptos"/>
                <w:b w:val="0"/>
                <w:sz w:val="24"/>
              </w:rPr>
              <w:t>Restricted</w:t>
            </w:r>
          </w:p>
          <w:p>
            <w:pPr>
              <w:spacing w:after="0"/>
            </w:pPr>
            <w:r>
              <w:rPr>
                <w:rFonts w:ascii="Aptos" w:hAnsi="Aptos"/>
                <w:b w:val="0"/>
                <w:color w:val="595959"/>
                <w:sz w:val="24"/>
              </w:rPr>
              <w:t>«Minimum for this report. Raise to Confidential only if it names individuals as subjects.»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color="auto"/>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b w:val="0"/>
                <w:color w:val="595959"/>
                <w:sz w:val="24"/>
              </w:rPr>
              <w:t>This template is ready to adopt. Replace every [BRACKETED] field with your agency’s information, follow the « » guidance notes,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b w:val="0"/>
                <w:color w:val="595959"/>
                <w:sz w:val="24"/>
              </w:rPr>
              <w:t>Keep the body director-readable. Push technical detail and contact lists to an appendix. Source Authority, approval signatures, and revision history stay at the foot of the document.</w:t>
            </w:r>
          </w:p>
        </w:tc>
      </w:tr>
    </w:tbl>
    <w:p>
      <w:pPr>
        <w:spacing w:after="60"/>
      </w:pPr>
    </w:p>
    <w:p>
      <w:pPr>
        <w:pStyle w:val="Heading2"/>
        <w:spacing w:after="100" w:before="220"/>
      </w:pPr>
      <w:r>
        <w:rPr>
          <w:rFonts w:ascii="Aptos" w:cs="Aptos" w:eastAsia="Aptos" w:hAnsi="Aptos"/>
          <w:b/>
          <w:bCs/>
          <w:color w:val="1B3A5C"/>
          <w:sz w:val="26"/>
          <w:szCs w:val="26"/>
        </w:rPr>
        <w:t xml:space="preserve">1. Executive Summary</w:t>
      </w:r>
    </w:p>
    <w:p>
      <w:pPr>
        <w:spacing w:after="140"/>
      </w:pPr>
      <w:r>
        <w:rPr>
          <w:rFonts w:ascii="Aptos" w:cs="Aptos" w:eastAsia="Aptos" w:hAnsi="Aptos"/>
          <w:i/>
          <w:iCs/>
          <w:color w:val="595959"/>
          <w:sz w:val="24"/>
          <w:szCs w:val="24"/>
        </w:rPr>
        <w:t>«Three or four sentences leadership can act on: overall program status, the headline change in risk, and what you need from them this period.»</w:t>
      </w:r>
    </w:p>
    <w:p>
      <w:pPr>
        <w:spacing w:after="120" w:before="0"/>
      </w:pPr>
      <w:r>
        <w:rPr>
          <w:rFonts w:ascii="Aptos" w:cs="Aptos" w:eastAsia="Aptos" w:hAnsi="Aptos"/>
          <w:b w:val="false"/>
          <w:bCs w:val="false"/>
          <w:i w:val="false"/>
          <w:iCs w:val="false"/>
          <w:sz w:val="24"/>
          <w:szCs w:val="24"/>
        </w:rPr>
        <w:t>[Three or four sentences leadership can act on: the program’s overall status this period, the most important change in risk, and the one or two decisions you need from them. Pull the numbers from the Risk Register and the Risk / Finding Register (POA&amp;M); do not re-assess here.]</w:t>
      </w:r>
    </w:p>
    <w:p>
      <w:pPr>
        <w:pStyle w:val="Heading2"/>
        <w:spacing w:after="100" w:before="220"/>
      </w:pPr>
      <w:r>
        <w:rPr>
          <w:rFonts w:ascii="Aptos" w:cs="Aptos" w:eastAsia="Aptos" w:hAnsi="Aptos"/>
          <w:b/>
          <w:bCs/>
          <w:color w:val="1B3A5C"/>
          <w:sz w:val="26"/>
          <w:szCs w:val="26"/>
        </w:rPr>
        <w:t>2. Program Status &amp; Metrics</w:t>
      </w:r>
    </w:p>
    <w:p>
      <w:pPr>
        <w:spacing w:after="140"/>
      </w:pPr>
      <w:r>
        <w:rPr>
          <w:rFonts w:ascii="Aptos" w:cs="Aptos" w:eastAsia="Aptos" w:hAnsi="Aptos"/>
          <w:i/>
          <w:iCs/>
          <w:color w:val="595959"/>
          <w:sz w:val="24"/>
          <w:szCs w:val="24"/>
        </w:rPr>
        <w:t>«The handful of measures leadership tracks. Pull them from the Risk Register, the Risk / Finding Register (POA&amp;M), and training records. Counts are fine; add a trend if you have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1300"/>
        <w:gridCol w:w="406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Metric</w:t>
            </w:r>
          </w:p>
        </w:tc>
        <w:tc>
          <w:tcPr>
            <w:tcW w:type="dxa" w:w="2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This Period</w:t>
            </w:r>
          </w:p>
        </w:tc>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Trend</w:t>
            </w:r>
          </w:p>
        </w:tc>
        <w:tc>
          <w:tcPr>
            <w:tcW w:type="dxa" w:w="40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Open risks (by rating)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{version}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{trendArrow}</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[highest-rated open risks]</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Findings closed this period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{version2}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[from the POA&amp;M]</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Overdue remediation items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{version3}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{trend2}</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[items past their due 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Training completion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{trend3}</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{securityAwareness}</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Reportable incidents this period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{version4}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{trend4}</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reports under HEA 1169, if any]</w:t>
            </w:r>
          </w:p>
        </w:tc>
      </w:tr>
    </w:tbl>
    <w:p>
      <w:pPr>
        <w:pStyle w:val="Heading2"/>
        <w:spacing w:after="100" w:before="220"/>
      </w:pPr>
      <w:r>
        <w:rPr>
          <w:rFonts w:ascii="Aptos" w:cs="Aptos" w:eastAsia="Aptos" w:hAnsi="Aptos"/>
          <w:b/>
          <w:bCs/>
          <w:color w:val="1B3A5C"/>
          <w:sz w:val="26"/>
          <w:szCs w:val="26"/>
        </w:rPr>
        <w:t>3. Open Risk Decisions / Items Requiring Leadership Action</w:t>
      </w:r>
    </w:p>
    <w:p>
      <w:pPr>
        <w:spacing w:after="140"/>
      </w:pPr>
      <w:r>
        <w:rPr>
          <w:rFonts w:ascii="Aptos" w:cs="Aptos" w:eastAsia="Aptos" w:hAnsi="Aptos"/>
          <w:i/>
          <w:iCs/>
          <w:color w:val="595959"/>
          <w:sz w:val="24"/>
          <w:szCs w:val="24"/>
        </w:rPr>
        <w:t>«Only items that need a leadership decision this period: risk acceptances, funding, policy approvals. Reference the Risk Register or POA&amp;M; do not restate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2000"/>
        <w:gridCol w:w="2200"/>
        <w:gridCol w:w="1460"/>
      </w:tblGrid>
      <w:tr>
        <w:trPr>
          <w:cantSplit/>
          <w:tblHeader/>
        </w:trP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Item</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Risk / Finding ref</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Decision needed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Recommended 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Owner (role)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 acceptance request]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{riskRef}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[Accept residual risk?]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{recommendation}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{fundingDecision}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{riskRef2}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 resources for X?]</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{recommendation2}</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[Add items needing a leadership decision]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{decision}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{reviewerRole3}</w:t>
            </w:r>
          </w:p>
        </w:tc>
      </w:tr>
    </w:tbl>
    <w:p>
      <w:pPr>
        <w:pStyle w:val="Heading2"/>
        <w:spacing w:after="100" w:before="220"/>
      </w:pPr>
      <w:r>
        <w:rPr>
          <w:rFonts w:ascii="Aptos" w:cs="Aptos" w:eastAsia="Aptos" w:hAnsi="Aptos"/>
          <w:b/>
          <w:bCs/>
          <w:color w:val="1B3A5C"/>
          <w:sz w:val="26"/>
          <w:szCs w:val="26"/>
        </w:rPr>
        <w:t>4. Open Findings Summary</w:t>
      </w:r>
    </w:p>
    <w:p>
      <w:pPr>
        <w:spacing w:after="140"/>
      </w:pPr>
      <w:r>
        <w:rPr>
          <w:rFonts w:ascii="Aptos" w:cs="Aptos" w:eastAsia="Aptos" w:hAnsi="Aptos"/>
          <w:i/>
          <w:iCs/>
          <w:color w:val="595959"/>
          <w:sz w:val="24"/>
          <w:szCs w:val="24"/>
        </w:rPr>
        <w:t>«A roll-up of open items pulled from the Risk / Finding Register (POA&amp;M). This report summarizes; it does not track. Point to the POA&amp;M for the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400"/>
        <w:gridCol w:w="1600"/>
        <w:gridCol w:w="1500"/>
        <w:gridCol w:w="2160"/>
      </w:tblGrid>
      <w:tr>
        <w:trPr>
          <w:cantSplit/>
          <w:tblHeader/>
        </w:trPr>
        <w:tc>
          <w:tcPr>
            <w:tcW w:type="dxa" w:w="2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Finding ref</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Severity</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Status</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Due date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Owner (role)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{poaM}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{severityHml}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{statusOpen}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{effectiveDate}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{reviewerRole4}</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{poaM2}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{severity}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{status}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{effectiveDate2}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{reviewerRole5}</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[Add open findings, summary only; detail lives in the POA&amp;M]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r>
    </w:tbl>
    <w:p>
      <w:pPr>
        <w:pStyle w:val="Heading2"/>
        <w:spacing w:after="100" w:before="220"/>
      </w:pPr>
      <w:r>
        <w:rPr>
          <w:rFonts w:ascii="Aptos" w:cs="Aptos" w:eastAsia="Aptos" w:hAnsi="Aptos"/>
          <w:b/>
          <w:bCs/>
          <w:color w:val="1B3A5C"/>
          <w:sz w:val="26"/>
          <w:szCs w:val="26"/>
        </w:rPr>
        <w:t>5. Reporting Cadence</w:t>
      </w:r>
    </w:p>
    <w:p>
      <w:pPr>
        <w:spacing w:after="120" w:before="0"/>
      </w:pPr>
      <w:r>
        <w:rPr>
          <w:rFonts w:ascii="Aptos" w:cs="Aptos" w:eastAsia="Aptos" w:hAnsi="Aptos"/>
          <w:b w:val="false"/>
          <w:bCs w:val="false"/>
          <w:i w:val="false"/>
          <w:iCs w:val="false"/>
          <w:sz w:val="24"/>
          <w:szCs w:val="24"/>
        </w:rPr>
        <w:t>This report is produced {reviewCadence} for {boardLeadershipBody2}, on the schedule set in the Governance Reporting Calendar. The reporting period and audience are recorded in the cover block above.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One page. The director compiles open risks and overdue items from the registers and reports to the county board {reviewCadence2}. Metrics can be counts, not charts.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coordinator compiles the roll-up from the Risk Register and the POA&amp;M; the director presents to leadership. A short trend per metric is enough.</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security function produces the report on a fixed cadence, with metrics drawn from the monitoring program and risk tooling, as a standing item at the leadership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§4.1.1, §4.3</w:t>
            </w:r>
          </w:p>
          <w:p>
            <w:pPr>
              <w:spacing w:after="40" w:before="0"/>
            </w:pPr>
            <w:r>
              <w:rPr>
                <w:rFonts w:ascii="Aptos" w:cs="Aptos" w:eastAsia="Aptos" w:hAnsi="Aptos"/>
                <w:b w:val="false"/>
                <w:bCs w:val="false"/>
                <w:i w:val="false"/>
                <w:iCs w:val="false"/>
                <w:sz w:val="24"/>
                <w:szCs w:val="24"/>
              </w:rPr>
              <w:t>NIST SP 800-53 Rev. 5: PM-4, PM-6, PM-9, PM-15, RA-7</w:t>
            </w:r>
          </w:p>
          <w:p>
            <w:pPr>
              <w:spacing w:after="40" w:before="0"/>
            </w:pPr>
            <w:r>
              <w:rPr>
                <w:rFonts w:ascii="Aptos" w:cs="Aptos" w:eastAsia="Aptos" w:hAnsi="Aptos"/>
                <w:b w:val="false"/>
                <w:bCs w:val="false"/>
                <w:i w:val="false"/>
                <w:iCs w:val="false"/>
                <w:sz w:val="24"/>
                <w:szCs w:val="24"/>
              </w:rPr>
              <w:t>Indiana statutes and administrative code: [if applicable]</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{preparedByRole}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{reviewerRole6}</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The metric set is a starting list; the agency tailors it. Reporting cadence is bracketed. This template summarizes existing risks and findings. It does not generate findings; source them from the Risk Register and the Risk / Finding Register (POA&amp;M).</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Board / Leadership Security Reporting Template - FORM</dc:title>
</cp:coreProperties>
</file>

<file path=docProps/custom.xml><?xml version="1.0" encoding="utf-8"?>
<Properties xmlns="http://schemas.openxmlformats.org/officeDocument/2006/custom-properties" xmlns:vt="http://schemas.openxmlformats.org/officeDocument/2006/docPropsVTypes"/>
</file>