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Unauthorized Disclosure Response &amp; Notification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responds to an unauthorized disclosure or spill of protected data: how it is detected, contained, investigated, and remediated, and how required notifications are made to regulators and affected individuals. It triggers from the Incident Response Plan for data-specific incidents.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handle a suspected data disclosure: the security coordinator, the {directorName},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containment, investigation, and remediation of an unauthorized disclosure of protected or CJIS-regulated data, and the notifications required by Indiana law and, where CJIS data is involved, CJIS reporting.</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[incidents with no data disclosure, which follow the Incident Response Plan; and public communications, which the {directorName} owns].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The Data Classification Policy defines what data is protected and what counts as a reportable disclosure.</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notification contacts: the Indiana Office of Technology, the Indiana Attorney General, and, where CJIS data is involved, the CJIS Systems Officer through IDACS.</w:t>
      </w:r>
    </w:p>
    <w:p>
      <w:pPr>
        <w:pStyle w:val="ListParagraph"/>
        <w:numPr>
          <w:ilvl w:val="0"/>
          <w:numId w:val="3"/>
        </w:numPr>
        <w:spacing w:after="60"/>
      </w:pPr>
      <w:r>
        <w:rPr>
          <w:rFonts w:ascii="Aptos" w:cs="Aptos" w:eastAsia="Aptos" w:hAnsi="Aptos"/>
          <w:b w:val="false"/>
          <w:bCs w:val="false"/>
          <w:i w:val="false"/>
          <w:iCs w:val="false"/>
          <w:sz w:val="24"/>
          <w:szCs w:val="24"/>
        </w:rPr>
        <w:t xml:space="preserve">A way to determine the number of Indiana residents affected, which sets the Attorney General notification threshold.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and confirm: confirm that protected data was disclosed to or accessed by someone without authorization, and classify the data involved using the Data Classification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stop the ongoing disclosure (revoke access, recall or delete the data, close the exposure) and preserve evidence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Investigate: determine what data, whose data, how much, and how it happened, and record it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notification duties: determine which notifications apply and their deadlines using the Notification Requirements below.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make each required notification within its deadline and keep proof of each.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Remediate and close: fix the cause, record corrective actions, and feed them to the Risk Register and the After-Action 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The disclosure was contained, the affected data and residents were identified, every required notification was made within its statutory deadline with proof retained, and corrective actions were recorded and tracked to closure.</w:t>
      </w:r>
    </w:p>
    <w:p>
      <w:pPr>
        <w:pStyle w:val="Heading2"/>
        <w:spacing w:after="100" w:before="220"/>
      </w:pPr>
      <w:r>
        <w:rPr>
          <w:rFonts w:ascii="Aptos" w:cs="Aptos" w:eastAsia="Aptos" w:hAnsi="Aptos"/>
          <w:b/>
          <w:bCs/>
          <w:color w:val="1B3A5C"/>
          <w:sz w:val="26"/>
          <w:szCs w:val="26"/>
        </w:rPr>
        <w:t xml:space="preserve">6. Notification Requirements</w:t>
      </w:r>
    </w:p>
    <w:p>
      <w:pPr>
        <w:spacing w:after="60"/>
      </w:pPr>
      <w:r>
        <w:rPr>
          <w:i/>
          <w:color w:val="595959"/>
        </w:rPr>
        <w:t xml:space="preserve">« Who is notified, by whom, and by when. Deadlines are set by Indiana law; keep proof of each notification.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 / trigger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Office of Technology (IOT)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{iotCyberIncidentReport}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Within 2 business days of a cybersecurity incident (HEA 1169)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{writtenNotification}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more than 500 Indiana residents are affected, without unreasonable delay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Affected Indiana residents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{individualNotice}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Without unreasonable delay after discovery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Systems Officer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{csoIdacsChannel}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CJIS-regulated data is disclosed, per CJIS Security Policy</w:t>
            </w:r>
          </w:p>
        </w:tc>
      </w:tr>
    </w:tbl>
    <w:p>
      <w:pPr>
        <w:spacing w:after="60"/>
      </w:pPr>
    </w:p>
    <w:p>
      <w:pPr>
        <w:pStyle w:val="Heading2"/>
        <w:spacing w:after="100" w:before="220"/>
      </w:pPr>
      <w:r>
        <w:rPr>
          <w:rFonts w:ascii="Aptos" w:cs="Aptos" w:eastAsia="Aptos" w:hAnsi="Aptos"/>
          <w:b/>
          <w:bCs/>
          <w:color w:val="1B3A5C"/>
          <w:sz w:val="26"/>
          <w:szCs w:val="26"/>
        </w:rPr>
        <w:t xml:space="preserve">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Data Classification Policy; Evidence Collection &amp; Chain-of-Custody Procedures; Incident Log / Register; Risk Register; After-Action Reports.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the response with county or vendor IT: contain the exposure, work out whose data and how many Indiana residents, and make the notifications. Keep the IOT and Attorney General contact details on hand and a simple record of what was sent and when.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investigates and contains while the director handles notifications; the resident count drives whether the Attorney General must be told.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containment and investigation, legal reviews the notification duties, and the director notifies within each statutory deadline, with proof retained.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IR-4, IR-6</w:t>
            </w:r>
          </w:p>
          <w:p>
            <w:pPr>
              <w:spacing w:after="40" w:before="0"/>
            </w:pPr>
            <w:r>
              <w:rPr>
                <w:rFonts w:ascii="Aptos" w:cs="Aptos" w:eastAsia="Aptos" w:hAnsi="Aptos"/>
                <w:bCs w:val="false"/>
                <w:iCs w:val="false"/>
                <w:sz w:val="24"/>
                <w:szCs w:val="24"/>
              </w:rPr>
              <w:t xml:space="preserve">Indiana statutes and administrative code: HEA 1169 (2021), cyber incident reporting to IOT; IC 24-4.9, data breach notification to the Indiana Attorney General and affected residents</w:t>
            </w:r>
          </w:p>
          <w:p>
            <w:pPr>
              <w:spacing w:after="40" w:before="0"/>
            </w:pPr>
            <w:r>
              <w:rPr>
                <w:rFonts w:ascii="Aptos" w:cs="Aptos" w:eastAsia="Aptos" w:hAnsi="Aptos"/>
                <w:bCs w:val="false"/>
                <w:iCs w:val="false"/>
                <w:sz w:val="24"/>
                <w:szCs w:val="24"/>
              </w:rPr>
              <w:t xml:space="preserve">CJIS Security Policy v5.9: §5.3 (Incident Response) (if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the current notification contacts for the Indiana Office of Technology and the Indiana Attorney General, and the Agency's method for counting affected Indiana residents against the 500-resident Attorney General threshold. Confirm whether a disclosure of CJIS-regulated data also triggers CJIS reporting through IDACS.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Unauthorized Disclosure Response &amp; Notification Procedures - FORM</dc:title>
</cp:coreProperties>
</file>

<file path=docProps/custom.xml><?xml version="1.0" encoding="utf-8"?>
<Properties xmlns="http://schemas.openxmlformats.org/officeDocument/2006/custom-properties" xmlns:vt="http://schemas.openxmlformats.org/officeDocument/2006/docPropsVTypes"/>
</file>