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{agencyName}</w:t>
            </w:r>
            <w:r>
              <w:rPr>
                <w:rFonts w:ascii="Aptos" w:cs="Aptos" w:eastAsia="Aptos" w:hAnsi="Aptos"/>
                <w:sz w:val="24"/>
                <w:szCs w:val="24"/>
              </w:rPr>
              <w:t xml:space="preserve"> under the authority of </w:t>
            </w:r>
            <w:r>
              <w:rPr>
                <w:rFonts w:ascii="Aptos" w:cs="Aptos" w:eastAsia="Aptos" w:hAnsi="Aptos"/>
                <w:b/>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{version}    </w:t>
            </w:r>
            <w:r>
              <w:rPr>
                <w:rFonts w:ascii="Aptos" w:cs="Aptos" w:eastAsia="Aptos" w:hAnsi="Aptos"/>
                <w:b/>
                <w:sz w:val="24"/>
                <w:szCs w:val="24"/>
              </w:rPr>
              <w:t xml:space="preserve">Effective Date: </w:t>
            </w:r>
            <w:r>
              <w:rPr>
                <w:rFonts w:ascii="Aptos" w:cs="Aptos" w:eastAsia="Aptos" w:hAnsi="Aptos"/>
                <w:sz w:val="24"/>
                <w:szCs w:val="24"/>
              </w:rPr>
              <w:t xml:space="preserve">{effectiveDate}    </w:t>
            </w:r>
            <w:r>
              <w:rPr>
                <w:rFonts w:ascii="Aptos" w:cs="Aptos" w:eastAsia="Aptos" w:hAnsi="Aptos"/>
                <w:b/>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sz w:val="24"/>
                <w:szCs w:val="24"/>
              </w:rPr>
              <w:t xml:space="preserve">Owner: </w:t>
            </w:r>
            <w:r>
              <w:rPr>
                <w:rFonts w:ascii="Aptos" w:cs="Aptos" w:eastAsia="Aptos" w:hAnsi="Aptos"/>
                <w:sz w:val="24"/>
                <w:szCs w:val="24"/>
              </w:rPr>
              <w:t xml:space="preserve">{roleTitle}   </w:t>
            </w:r>
            <w:r>
              <w:rPr>
                <w:rFonts w:ascii="Aptos" w:cs="Aptos" w:eastAsia="Aptos" w:hAnsi="Aptos"/>
                <w:i/>
                <w:color w:val="595959"/>
                <w:sz w:val="24"/>
                <w:szCs w:val="24"/>
              </w:rPr>
              <w:t xml:space="preserve">«use a role, not a person’s name.»</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Internal / CJIS</w:t>
            </w:r>
          </w:p>
          <w:p>
            <w:pPr>
              <w:spacing w:after="0"/>
            </w:pPr>
            <w:r>
              <w:rPr>
                <w:rFonts w:ascii="Aptos" w:cs="Aptos" w:eastAsia="Aptos" w:hAnsi="Aptos"/>
                <w:i/>
                <w:color w:val="595959"/>
                <w:sz w:val="24"/>
                <w:szCs w:val="24"/>
              </w:rPr>
              <w:t xml:space="preserve">«Minimum for Policy artifacts. The / CJIS marker is appended because this policy governs cryptographic protection of CJIS-regulated data, reached in Indiana through IDACS. Remove the marker and the CJIS Handling Addendum below if the Agency stores or transmits no CJIS-regulated data on systems it controls.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i/>
                <w:color w:val="1B3A5C"/>
                <w:sz w:val="24"/>
                <w:szCs w:val="24"/>
              </w:rPr>
              <w:t xml:space="preserve">How to use this template </w:t>
            </w:r>
            <w:r>
              <w:rPr>
                <w:rFonts w:ascii="Aptos" w:cs="Aptos" w:eastAsia="Aptos" w:hAnsi="Aptos"/>
                <w:b/>
                <w:i/>
                <w:color w:val="595959"/>
                <w:sz w:val="24"/>
                <w:szCs w:val="24"/>
              </w:rPr>
              <w:t xml:space="preserve">(delete this box before publishing)</w:t>
            </w:r>
          </w:p>
          <w:p>
            <w:pPr>
              <w:spacing w:after="140"/>
            </w:pPr>
            <w:r>
              <w:rPr>
                <w:rFonts w:ascii="Aptos" w:cs="Aptos" w:eastAsia="Aptos" w:hAnsi="Aptos"/>
                <w:i/>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i/>
                <w:sz w:val="24"/>
                <w:szCs w:val="24"/>
              </w:rPr>
              <w:t xml:space="preserve">Placeholder key: </w:t>
            </w:r>
            <w:r>
              <w:rPr>
                <w:rFonts w:ascii="Aptos" w:cs="Aptos" w:eastAsia="Aptos" w:hAnsi="Aptos"/>
                <w:b/>
                <w:i/>
                <w:sz w:val="24"/>
                <w:szCs w:val="24"/>
              </w:rPr>
              <w:t xml:space="preserve">[BRACKETED]</w:t>
            </w:r>
            <w:r>
              <w:rPr>
                <w:rFonts w:ascii="Aptos" w:cs="Aptos" w:eastAsia="Aptos" w:hAnsi="Aptos"/>
                <w:b/>
                <w:i/>
                <w:sz w:val="24"/>
                <w:szCs w:val="24"/>
              </w:rPr>
              <w:t xml:space="preserve"> = fill in   ·   </w:t>
            </w:r>
            <w:r>
              <w:rPr>
                <w:rFonts w:ascii="Aptos" w:cs="Aptos" w:eastAsia="Aptos" w:hAnsi="Aptos"/>
                <w:b/>
                <w:i/>
                <w:sz w:val="24"/>
                <w:szCs w:val="24"/>
              </w:rPr>
              <w:t xml:space="preserve">[REQUIRED]</w:t>
            </w:r>
            <w:r>
              <w:rPr>
                <w:rFonts w:ascii="Aptos" w:cs="Aptos" w:eastAsia="Aptos" w:hAnsi="Aptos"/>
                <w:b/>
                <w:i/>
                <w:sz w:val="24"/>
                <w:szCs w:val="24"/>
              </w:rPr>
              <w:t xml:space="preserve"> (bold) = required field   ·   </w:t>
            </w:r>
            <w:r>
              <w:rPr>
                <w:rFonts w:ascii="Aptos" w:cs="Aptos" w:eastAsia="Aptos" w:hAnsi="Aptos"/>
                <w:b/>
                <w:i/>
                <w:color w:val="595959"/>
                <w:sz w:val="24"/>
                <w:szCs w:val="24"/>
              </w:rPr>
              <w:t xml:space="preserve">« »</w:t>
            </w:r>
            <w:r>
              <w:rPr>
                <w:rFonts w:ascii="Aptos" w:cs="Aptos" w:eastAsia="Aptos" w:hAnsi="Aptos"/>
                <w:b/>
                <w:i/>
                <w:sz w:val="24"/>
                <w:szCs w:val="24"/>
              </w:rPr>
              <w:t xml:space="preserve"> = guidance to delete.</w:t>
            </w:r>
          </w:p>
          <w:p>
            <w:pPr>
              <w:spacing w:after="140"/>
            </w:pPr>
            <w:r>
              <w:rPr>
                <w:rFonts w:ascii="Aptos" w:cs="Aptos" w:eastAsia="Aptos" w:hAnsi="Aptos"/>
                <w:i/>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sz w:val="24"/>
          <w:szCs w:val="24"/>
        </w:rPr>
        <w:t xml:space="preserve">This policy governs how the Agency protects sensitive information with encryption, both at rest and in transit. It sets the obligation to encrypt by data classification, names who is accountable, and requires that only cryptography approved in the Encryption Standards Document is used. It does not specify algorithms or settings: those live in the Encryption Standards Document.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personnel, contractors, and vendors who handle Agency sensitive data or administer systems that store or transmit it.</w:t>
      </w:r>
    </w:p>
    <w:p>
      <w:pPr>
        <w:pStyle w:val="ListParagraph"/>
        <w:numPr>
          <w:ilvl w:val="0"/>
          <w:numId w:val="2"/>
        </w:numPr>
        <w:spacing w:after="60"/>
      </w:pPr>
      <w:r>
        <w:rPr>
          <w:rFonts w:ascii="Aptos" w:cs="Aptos" w:eastAsia="Aptos" w:hAnsi="Aptos"/>
          <w:b/>
          <w:sz w:val="24"/>
          <w:szCs w:val="24"/>
        </w:rPr>
        <w:t xml:space="preserve">Covers: </w:t>
      </w:r>
      <w:r>
        <w:rPr>
          <w:rFonts w:ascii="Aptos" w:cs="Aptos" w:eastAsia="Aptos" w:hAnsi="Aptos"/>
          <w:sz w:val="24"/>
          <w:szCs w:val="24"/>
        </w:rPr>
        <w:t xml:space="preserve">Agency sensitive data wherever it resides: on-premises and cloud storage, databases, application logs, call recordings, backups, voice and message traffic, system interfaces, and removable media.</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data classified Internal or Public where no statute, contract, or risk decision requires encryption. [State any local exclusions.]</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sz w:val="24"/>
          <w:szCs w:val="24"/>
        </w:rPr>
        <w:t xml:space="preserve">Approved cryptography: </w:t>
      </w:r>
      <w:r>
        <w:rPr>
          <w:rFonts w:ascii="Aptos" w:cs="Aptos" w:eastAsia="Aptos" w:hAnsi="Aptos"/>
          <w:sz w:val="24"/>
          <w:szCs w:val="24"/>
        </w:rPr>
        <w:t xml:space="preserve">the algorithms, protocols, and minimum key lengths set out in the Encryption Standards Document.</w:t>
      </w:r>
    </w:p>
    <w:p>
      <w:pPr>
        <w:spacing w:after="120" w:before="0"/>
      </w:pPr>
      <w:r>
        <w:rPr>
          <w:rFonts w:ascii="Aptos" w:cs="Aptos" w:eastAsia="Aptos" w:hAnsi="Aptos"/>
          <w:b/>
          <w:sz w:val="24"/>
          <w:szCs w:val="24"/>
        </w:rPr>
        <w:t xml:space="preserve">Sensitive data: </w:t>
      </w:r>
      <w:r>
        <w:rPr>
          <w:rFonts w:ascii="Aptos" w:cs="Aptos" w:eastAsia="Aptos" w:hAnsi="Aptos"/>
          <w:sz w:val="24"/>
          <w:szCs w:val="24"/>
        </w:rPr>
        <w:t xml:space="preserve">data classified Restricted or Confidential under the Data Classification Policy.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sz w:val="24"/>
          <w:szCs w:val="24"/>
        </w:rPr>
        <w:t xml:space="preserve">The Agency shall encrypt sensitive data at rest and in transit, using only cryptography approved in the Encryption Standards Document.</w:t>
      </w:r>
    </w:p>
    <w:p>
      <w:pPr>
        <w:pStyle w:val="ListParagraph"/>
        <w:numPr>
          <w:ilvl w:val="0"/>
          <w:numId w:val="300"/>
        </w:numPr>
        <w:spacing w:after="60"/>
      </w:pPr>
      <w:r>
        <w:rPr>
          <w:rFonts w:ascii="Aptos" w:cs="Aptos" w:eastAsia="Aptos" w:hAnsi="Aptos"/>
          <w:sz w:val="24"/>
          <w:szCs w:val="24"/>
        </w:rPr>
        <w:t xml:space="preserve">Encryption follows the Data Classification Policy. Data classified Restricted or Confidential shall be encrypted at rest and in transit. The Agency may extend encryption to lower classifications where a statute, contract, or risk decision requires it.</w:t>
      </w:r>
    </w:p>
    <w:p>
      <w:pPr>
        <w:pStyle w:val="ListParagraph"/>
        <w:numPr>
          <w:ilvl w:val="0"/>
          <w:numId w:val="300"/>
        </w:numPr>
        <w:spacing w:after="60"/>
      </w:pPr>
      <w:r>
        <w:rPr>
          <w:rFonts w:ascii="Aptos" w:cs="Aptos" w:eastAsia="Aptos" w:hAnsi="Aptos"/>
          <w:sz w:val="24"/>
          <w:szCs w:val="24"/>
        </w:rPr>
        <w:t xml:space="preserve">The Agency shall encrypt sensitive data wherever it resides, including on-premises and cloud storage, databases, application logs, call recordings, and backups.</w:t>
      </w:r>
    </w:p>
    <w:p>
      <w:pPr>
        <w:pStyle w:val="ListParagraph"/>
        <w:numPr>
          <w:ilvl w:val="0"/>
          <w:numId w:val="300"/>
        </w:numPr>
        <w:spacing w:after="60"/>
      </w:pPr>
      <w:r>
        <w:rPr>
          <w:rFonts w:ascii="Aptos" w:cs="Aptos" w:eastAsia="Aptos" w:hAnsi="Aptos"/>
          <w:sz w:val="24"/>
          <w:szCs w:val="24"/>
        </w:rPr>
        <w:t xml:space="preserve">The Agency shall encrypt sensitive data in transit across networks it does not control, including device-to-device communication, voice and message traffic, system interfaces, and remote-access sessions.</w:t>
      </w:r>
    </w:p>
    <w:p>
      <w:pPr>
        <w:pStyle w:val="ListParagraph"/>
        <w:numPr>
          <w:ilvl w:val="0"/>
          <w:numId w:val="300"/>
        </w:numPr>
        <w:spacing w:after="60"/>
      </w:pPr>
      <w:r>
        <w:rPr>
          <w:rFonts w:ascii="Aptos" w:cs="Aptos" w:eastAsia="Aptos" w:hAnsi="Aptos"/>
          <w:sz w:val="24"/>
          <w:szCs w:val="24"/>
        </w:rPr>
        <w:t xml:space="preserve">The Agency shall select algorithms, protocols, and key lengths only from the Encryption Standards Document, and shall not use any cryptography the Standard prohibits.</w:t>
      </w:r>
    </w:p>
    <w:p>
      <w:pPr>
        <w:pStyle w:val="ListParagraph"/>
        <w:numPr>
          <w:ilvl w:val="0"/>
          <w:numId w:val="300"/>
        </w:numPr>
        <w:spacing w:after="60"/>
      </w:pPr>
      <w:r>
        <w:rPr>
          <w:rFonts w:ascii="Aptos" w:cs="Aptos" w:eastAsia="Aptos" w:hAnsi="Aptos"/>
          <w:sz w:val="24"/>
          <w:szCs w:val="24"/>
        </w:rPr>
        <w:t xml:space="preserve">Cryptographic keys shall be generated, distributed, stored, rotated, and revoked under the Key &amp; Certificate Management Policy. Key access is restricted and kept separate from the data the keys protect.</w:t>
      </w:r>
    </w:p>
    <w:p>
      <w:pPr>
        <w:pStyle w:val="ListParagraph"/>
        <w:numPr>
          <w:ilvl w:val="0"/>
          <w:numId w:val="300"/>
        </w:numPr>
        <w:spacing w:after="60"/>
      </w:pPr>
      <w:r>
        <w:rPr>
          <w:rFonts w:ascii="Aptos" w:cs="Aptos" w:eastAsia="Aptos" w:hAnsi="Aptos"/>
          <w:sz w:val="24"/>
          <w:szCs w:val="24"/>
        </w:rPr>
        <w:t xml:space="preserve">Vendors and service providers that store or transmit Agency sensitive data shall meet encryption requirements no weaker than this policy, evidenced by contract terms or a recognized attestation such as FedRAMP or SOC 2.</w:t>
      </w:r>
    </w:p>
    <w:p>
      <w:pPr>
        <w:pStyle w:val="ListParagraph"/>
        <w:numPr>
          <w:ilvl w:val="0"/>
          <w:numId w:val="300"/>
        </w:numPr>
        <w:spacing w:after="60"/>
      </w:pPr>
      <w:r>
        <w:rPr>
          <w:rFonts w:ascii="Aptos" w:cs="Aptos" w:eastAsia="Aptos" w:hAnsi="Aptos"/>
          <w:sz w:val="24"/>
          <w:szCs w:val="24"/>
        </w:rPr>
        <w:t xml:space="preserve">The Agency shall verify that required encryption is in place, record the result in the Encryption Implementation Verification Records, and track any gap to closure in the Risk / Finding Register.</w:t>
      </w:r>
    </w:p>
    <w:p>
      <w:pPr>
        <w:pStyle w:val="ListParagraph"/>
        <w:numPr>
          <w:ilvl w:val="0"/>
          <w:numId w:val="300"/>
        </w:numPr>
        <w:spacing w:after="60"/>
      </w:pPr>
      <w:r>
        <w:rPr>
          <w:rFonts w:ascii="Aptos" w:cs="Aptos" w:eastAsia="Aptos" w:hAnsi="Aptos"/>
          <w:sz w:val="24"/>
          <w:szCs w:val="24"/>
        </w:rPr>
        <w:t xml:space="preserve">Encryption that protects CJIS-regulated data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exceptions, and ensures encryption obligations are funded and met.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and maintains encryption on systems and data stores, applies the Encryption Standards Document, and supports key management.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sz w:val="24"/>
                <w:szCs w:val="24"/>
              </w:rPr>
              <w:t xml:space="preserve">{securityCoordinator}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Verifies encryption is applied where required, records results in the Encryption Implementation Verification Records, and reports gaps.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only approved encrypted methods for sensitive data; do not disable or bypass encryption controls.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sz w:val="24"/>
          <w:szCs w:val="24"/>
        </w:rPr>
        <w:t xml:space="preserve">The {directorName} monitors compliance through the Encryption Implementation Verification Records and periodic review. Sensitive data found unencrypted where this policy requires encryption is recorded as a finding in the Risk / Finding Register and remediated on a set timeline. Deliberate bypass of an encryption control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sz w:val="24"/>
          <w:szCs w:val="24"/>
        </w:rPr>
        <w:t xml:space="preserve">An exception requires written approval from the {directorName}, must name the system or data affected and any compensating control, and is recorded in the Risk / Finding Register with a review date. The exception lapses on that date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policy is reviewed at least annually and after any significant change to the systems it covers, the Data Classification Policy, or the Encryption Standards Document,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Rely on built-in encryption: full-disk encryption on every device, a cloud provider that encrypts stored data, and HTTPS or TLS for anything leaving the network. County or vendor IT confirms it is on; the director keeps the verification record by hand.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applies the Encryption Standards Document across systems, manages keys for the main data stores, and checks encryption at each periodic review. Add provider attestations (FedRAMP, SOC 2) to vendor agreements.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Run encryption as a managed program: centrally managed keys, enforced configuration baselines, and automated checks that flag unencrypted sensitive data. The security role owns verification and exception tracking.</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sz w:val="24"/>
          <w:szCs w:val="24"/>
        </w:rPr>
        <w:t xml:space="preserve">CJIS Handling: This policy governs cryptographic protection of CJIS-regulated data, reached in Indiana through IDACS. Apply the FBI CJIS Security Policy v5.9 §5.10.1.2 (encryption of CJI at rest and in transit using FIPS-validated cryptographic modules) in addition to the controls above, and 240 IAC 5 where IDACS is in scope. Remove this addendum and the / CJIS classification marker if the Agency stores or transmits no CJIS-regulated data on systems it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§4.1.4, §6.22, §6.23</w:t>
            </w:r>
          </w:p>
          <w:p>
            <w:pPr>
              <w:spacing w:after="40" w:before="0"/>
            </w:pPr>
            <w:r>
              <w:rPr>
                <w:rFonts w:ascii="Aptos" w:cs="Aptos" w:eastAsia="Aptos" w:hAnsi="Aptos"/>
                <w:i/>
                <w:sz w:val="24"/>
                <w:szCs w:val="24"/>
              </w:rPr>
              <w:t xml:space="preserve">NIST SP 800-53 Rev. 5: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(encryption of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sz w:val="24"/>
                <w:szCs w:val="24"/>
              </w:rPr>
              <w:t xml:space="preserve">Drafter’s note (internal, delete before publishing): </w:t>
            </w:r>
            <w:r>
              <w:rPr>
                <w:rFonts w:ascii="Aptos" w:cs="Aptos" w:eastAsia="Aptos" w:hAnsi="Aptos"/>
                <w:sz w:val="24"/>
                <w:szCs w:val="24"/>
              </w:rPr>
              <w:t xml:space="preserve">The Agency fills {agencyName}, version, dates, the Owner role, and the role labels in Roles &amp; Responsibilities. Confirm CJIS applicability: keep the / CJIS marker and the CJIS Handling Addendum only if the Agency stores or transmits CJIS-regulated data on systems it controls; otherwise remove both. Algorithm, protocol, and key-length choices are not set here; they live in the Encryption Standards Document.</w:t>
            </w:r>
          </w:p>
          <w:p>
            <w:pPr>
              <w:spacing w:after="140"/>
            </w:pPr>
            <w:r>
              <w:rPr>
                <w:rFonts w:ascii="Aptos" w:cs="Aptos" w:eastAsia="Aptos" w:hAnsi="Aptos"/>
                <w:i/>
                <w:iCs/>
                <w:color w:val="595959"/>
                <w:sz w:val="24"/>
                <w:szCs w:val="24"/>
              </w:rPr>
              <w:t xml:space="preserve">List any [BRACKETED] field whose value could not be determined from project context, and any decision that needs confirmation before this artifact is finalized.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Encryption Policy - FORM</dc:title>
</cp:coreProperties>
</file>

<file path=docProps/custom.xml><?xml version="1.0" encoding="utf-8"?>
<Properties xmlns="http://schemas.openxmlformats.org/officeDocument/2006/custom-properties" xmlns:vt="http://schemas.openxmlformats.org/officeDocument/2006/docPropsVTypes"/>
</file>