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Visitor Access Agreement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>Visitor and Host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Visitor: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{fullNameAndOrganization}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Host / Escort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{hostEscort}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this form: a signed copy names the visitor. Your agency may raise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form records that a visitor was told the Agency’s access rules and confidentiality requirements and agreed to them before entering non-public areas. It is signed once per visit and kept as the acknowledgment behind the Visitor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Access Rules and Confidentiality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present valid identification and be issued a temporary visitor badge before entry, and shall display it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remain under escort in all non-public areas and shall not access systems, screens, or records except as the host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keep confidential any information observed during the visit, including any criminal justice information, and shall not photograph or record without permission.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visitor shall return the visitor badge on departure and follow all directions from Agency staff.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Visitor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Host / Escort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kept by {reviewerRole} for {period}, stored {location}, per the Document Handling Standard. The Agency keeps one signed form per visit.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one-page sign-in sheet with the access rules printed on it and a signature line is enough. The director or a dispatcher has each visitor sign before entry.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standard visitor agreement signed at reception and filed with the day’s Visitor Log entries.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visitor-management system captures the acknowledgment at check-in; the signed record is retained and tied to the Visitor Log.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PE-2, PE-3, PE-8, PS-6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§5.9.1 (Physically Secure Location; escorting visitors where CJIS-regulated systems are present)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retention period and the role that keeps the signed forms. This form is the signed acknowledgment behind the Visitor Log; the Physical Access Control Policy sets the visitor rules it restates in plain terms.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Visitor Access Agreement Form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