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Standard artifacts. Stays Restricted in most cases. Drop to Internal only when the standard merely references public best practice.»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b w:val="false"/>
          <w:bCs w:val="false"/>
          <w:i w:val="false"/>
          <w:iCs w:val="false"/>
          <w:sz w:val="24"/>
          <w:szCs w:val="24"/>
        </w:rPr>
        <w:t>This standard sets the physical hardening requirements for {agencyName}'s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[exclusions, if any; if none, write "None."]</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[a defined period]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{reviewCadence}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rPr>
          <w:cantSplit/>
        </w:trP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{directorName}. The request states the gap, the reason, the compensating controls in place, and a re-evaluation date. Approved deviations are recorded in the Server Room / Equipment Area Hardening Assessment Record and reviewed at least {reviewCadence2}.</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standard is reviewed at least {reviewCadence3} and after any significant change to the Agency's facilities, equipment, or physical threat environment,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Most equipment sits in one room, often shared with the sheriff's office. Meet the standard with what scales: locked racks, labeled cabling, privacy filters, and auto-lock on every screen. The director checks placement once a year and records any shared-space gap as a deviation with a compensating control.</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 a secured equipment room where you can, and have county IT confirm placement, cabling, and locking against this standard on a set cycle. Make display protection a standard build step for every new position.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Maintain formal placement and hardening standards across both centers, with facilities or IT inspecting on a schedule and logging results in the assessment record. Cabling inspection and display protection are part of routine facility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{ownerRole3} for physical hardening (Facilities, IT support, or the director, depending on the agency); (2) the screen-lock period in Requirement 5 and the placement-review cadence in Requirement 6; (3) the NENA-STA-040.2-2024 sections (6.1.1 Physical Protections, 6.1.4 Transmission Medium, 6.1.5 Display Medium, 6.7.2 Environmental Controls) against the standard in force. No CJIS overlay: CJIS-regulated systems are maintained by the State outside PSAP scope. Cross-referenced artifacts use Tracker names: Physical Access Control Policy, Server Room / Equipment Area Hardening Assessment Record.</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2026-06-01T15:29:11.465Z</dcterms:created>
  <dcterms:modified xsi:type="dcterms:W3CDTF">2026-06-01T15:29:11.465Z</dcterms:modified>
  <dc:title xmlns:dc="http://purl.org/dc/elements/1.1/">Physical Security Hardening Standard - FORM</dc:title>
</cp:coreProperties>
</file>

<file path=docProps/custom.xml><?xml version="1.0" encoding="utf-8"?>
<Properties xmlns="http://schemas.openxmlformats.org/officeDocument/2006/custom-properties" xmlns:vt="http://schemas.openxmlformats.org/officeDocument/2006/docPropsVTypes"/>
</file>