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Vulnerability Assessment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Cover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Assessment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{effectiveDate}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Assessor: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{roleInternalOrIndependentThirdParty}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Scope: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{systemsNetworkAndApplicationsAssessedPer}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Tool / methodology: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{toolMethodology}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{reviewerRole}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« Minimum for this artifact: assessment findings aid an attacker.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How to use this template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(delete this box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report records what was assessed, the tools and methods used, and the findings by severity. Findings feed the Risk / Finding Register (POA&amp;M), where they are tracked to closure. [Summarize the headline result and the most significant findings in three or four sentences a director can act on.]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One row per finding. Use the same severity scale as the Risk Register (High / Medium / Low). Keep the recommendation specific.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{severityHml}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{recommendation}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{finding2}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{severityHml2}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{recommendation2}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[Add findings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>« Each finding's owner, action, due date, and status. Open items are mirrored into the Risk / Finding Register (POA&amp;M); this report feeds it, it does not replace it.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{statusOpen}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{action2}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{statusOpen2}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basic vulnerability scan and a short written report may be all that is realistic in-house; the county or a vendor often runs it. Record the scope, tool, findings, and what was fixed, and carry open items to the finding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Regular authenticated scans with a written report, plus a periodic independent assessment. A security coordinator triages findings and tracks them in the finding register.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 formal program: scheduled scans, an annual independent penetration test, and reports reviewed by system owners and an independent assessor, with findings tracked to closure.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/>
                <w:color w:val="595959"/>
                <w:sz w:val="24"/>
              </w:rPr>
              <w:t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CA-2, CA-8, RA-5, SI-2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{assessorRole}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 xml:space="preserve">Drafter's note </w:t>
            </w:r>
            <w:r>
              <w:rPr>
                <w:rFonts w:ascii="Aptos" w:hAnsi="Aptos" w:cs="Aptos"/>
                <w:b w:val="0"/>
                <w:i w:val="0"/>
                <w:color w:val="595959"/>
                <w:sz w:val="24"/>
              </w:rPr>
              <w:t>(internal, delete before publishing)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A penetration test is issued as this same report, with its rules of engagement recorded in the Cover 'Tool / methodology' line; the independent-assessor requirement is captured in the 'Assessor' line. Findings feed the Risk / Finding Register (POA&amp;M) and are not duplicated here.</w:t>
            </w:r>
          </w:p>
          <w:p>
            <w:pPr>
              <w:spacing w:after="14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If an assessment covers systems that reach CJIS-regulated data (via IDACS), add the applicable CJIS Security Policy section to the Source Authority. Agency-supplied values in brackets: {agencyName}, assessor and owner roles, scope, tool, dates, and all findings.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Vulnerability Assessment Reports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