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System Security Plans (per critical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{systemOwnerRole}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Restricted</w:t>
            </w:r>
          </w:p>
          <w:p>
            <w:pPr>
              <w:spacing w:after="0"/>
            </w:pPr>
            <w:r>
              <w:rPr>
                <w:rFonts w:ascii="Aptos" w:cs="Aptos" w:eastAsia="Aptos" w:hAnsi="Aptos"/>
                <w:i/>
                <w:iCs/>
                <w:color w:val="595959"/>
                <w:sz w:val="24"/>
                <w:szCs w:val="24"/>
              </w:rPr>
              <w:t>«Minimum for this Configuration Record. Append “ / CJIS” where the documented system carries CJIS-regulated data (in Indiana, via IDACS). Your agency may raise but not lower this.»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Complete one System Security Plan per critical system (CAD, CPE/CHE, GIS, logging, mapping, and any other system your risk review flags). Copy this template for each system, replace every [BRACKETED] field, follow the « » guidance,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Draw system identity from the Master Asset Inventory and the criticality tier from the Asset Criticality Ranking Matrix. Keep the record current: update it after each risk review.</w:t>
            </w:r>
          </w:p>
        </w:tc>
      </w:tr>
    </w:tbl>
    <w:p>
      <w:pPr>
        <w:pStyle w:val="Heading2"/>
        <w:spacing w:after="100" w:before="220"/>
      </w:pPr>
      <w:r>
        <w:rPr>
          <w:rFonts w:ascii="Aptos" w:cs="Aptos" w:eastAsia="Aptos" w:hAnsi="Aptos"/>
          <w:b/>
          <w:bCs/>
          <w:color w:val="1B3A5C"/>
          <w:sz w:val="26"/>
          <w:szCs w:val="26"/>
        </w:rPr>
        <w:t xml:space="preserve">1. Purpose and Scope</w:t>
      </w:r>
    </w:p>
    <w:p>
      <w:pPr>
        <w:spacing w:after="140"/>
      </w:pPr>
      <w:r>
        <w:rPr>
          <w:rFonts w:ascii="Aptos" w:cs="Aptos" w:eastAsia="Aptos" w:hAnsi="Aptos"/>
          <w:i/>
          <w:iCs/>
          <w:color w:val="595959"/>
          <w:sz w:val="24"/>
          <w:szCs w:val="24"/>
        </w:rPr>
        <w:t xml:space="preserve">«What system this record documents and why. A Configuration Record captures the as-built state; it is evidence of compliance with the governing Standard, not the rule itself.»</w:t>
      </w:r>
    </w:p>
    <w:p>
      <w:pPr>
        <w:spacing w:after="120" w:before="0"/>
      </w:pPr>
      <w:r>
        <w:rPr>
          <w:rFonts w:ascii="Aptos" w:cs="Aptos" w:eastAsia="Aptos" w:hAnsi="Aptos"/>
          <w:b w:val="false"/>
          <w:bCs w:val="false"/>
          <w:i w:val="false"/>
          <w:iCs w:val="false"/>
          <w:sz w:val="24"/>
          <w:szCs w:val="24"/>
        </w:rPr>
        <w:t>This System Security Plan documents one critical 9-1-1 system: what it is, how important it is, how it connects to and exchanges data with other systems, and the security controls in place on it. It is an as-built record, not a policy. Complete one plan per critical system. The governing documents are the Cybersecurity &amp; Privacy Policy and the Risk Management Methodology Standard; this record implements them for a single system.</w:t>
      </w:r>
    </w:p>
    <w:p>
      <w:pPr>
        <w:pStyle w:val="Heading2"/>
        <w:spacing w:after="100" w:before="220"/>
      </w:pPr>
      <w:r>
        <w:rPr>
          <w:rFonts w:ascii="Aptos" w:cs="Aptos" w:eastAsia="Aptos" w:hAnsi="Aptos"/>
          <w:b/>
          <w:bCs/>
          <w:color w:val="1B3A5C"/>
          <w:sz w:val="26"/>
          <w:szCs w:val="26"/>
        </w:rPr>
        <w:t xml:space="preserve">2. System Identification</w:t>
      </w:r>
    </w:p>
    <w:p>
      <w:pPr>
        <w:spacing w:after="140"/>
      </w:pPr>
      <w:r>
        <w:rPr>
          <w:rFonts w:ascii="Aptos" w:cs="Aptos" w:eastAsia="Aptos" w:hAnsi="Aptos"/>
          <w:i/>
          <w:iCs/>
          <w:color w:val="595959"/>
          <w:sz w:val="24"/>
          <w:szCs w:val="24"/>
        </w:rPr>
        <w:t xml:space="preserve">«Identify the system precisely. Tie the Asset ID back to the Master Asset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Field</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 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{entryName}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Environment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{environment}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Location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{hostingModel}</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Asset ID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{assetId}</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Vendor / product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{vendorName}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Connectivity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[networks and systems this connects to: summarize; detail in Interconnections below]</w:t>
            </w:r>
          </w:p>
        </w:tc>
      </w:tr>
    </w:tbl>
    <w:p>
      <w:pPr>
        <w:pStyle w:val="Heading2"/>
        <w:spacing w:after="100" w:before="220"/>
      </w:pPr>
      <w:r>
        <w:rPr>
          <w:rFonts w:ascii="Aptos" w:cs="Aptos" w:eastAsia="Aptos" w:hAnsi="Aptos"/>
          <w:b/>
          <w:bCs/>
          <w:color w:val="1B3A5C"/>
          <w:sz w:val="26"/>
          <w:szCs w:val="26"/>
        </w:rPr>
        <w:t>3. System Categorization</w:t>
      </w:r>
    </w:p>
    <w:p>
      <w:pPr>
        <w:spacing w:after="140"/>
      </w:pPr>
      <w:r>
        <w:rPr>
          <w:rFonts w:ascii="Aptos" w:cs="Aptos" w:eastAsia="Aptos" w:hAnsi="Aptos"/>
          <w:i/>
          <w:iCs/>
          <w:color w:val="595959"/>
          <w:sz w:val="24"/>
          <w:szCs w:val="24"/>
        </w:rPr>
        <w:t>«How important this system is and how sensitive its data is. Take the criticality tier from the Asset Criticality Ranking Matrix and the data sensitivity from the Data Classification Policy. Do not re-derive them here; record them and cite the source.»</w:t>
      </w:r>
    </w:p>
    <w:p>
      <w:pPr>
        <w:spacing w:after="120" w:before="0"/>
      </w:pPr>
      <w:r>
        <w:rPr>
          <w:rFonts w:ascii="Aptos" w:cs="Aptos" w:eastAsia="Aptos" w:hAnsi="Aptos"/>
          <w:b w:val="false"/>
          <w:bCs w:val="false"/>
          <w:i w:val="false"/>
          <w:iCs w:val="false"/>
          <w:sz w:val="24"/>
          <w:szCs w:val="24"/>
        </w:rPr>
        <w:t>This system's criticality and data sensitivity set the level of protection it requires. The values below are carried from the Agency's ranking and classification work, not decided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Field</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Value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Criticality tier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{criticality}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Confidentiality impact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{impactLevel}</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Integrity impact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{impactLevel2}</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Availability impact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{impactLevel3}</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Data sensitivity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{dataSensitivity}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Categorization date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[date the tier and impacts were last confirmed]</w:t>
            </w:r>
          </w:p>
        </w:tc>
      </w:tr>
    </w:tbl>
    <w:p>
      <w:pPr>
        <w:pStyle w:val="Heading2"/>
        <w:spacing w:after="100" w:before="220"/>
      </w:pPr>
      <w:r>
        <w:rPr>
          <w:rFonts w:ascii="Aptos" w:cs="Aptos" w:eastAsia="Aptos" w:hAnsi="Aptos"/>
          <w:b/>
          <w:bCs/>
          <w:color w:val="1B3A5C"/>
          <w:sz w:val="26"/>
          <w:szCs w:val="26"/>
        </w:rPr>
        <w:t>4. Interconnections &amp; Data Exchange</w:t>
      </w:r>
    </w:p>
    <w:p>
      <w:pPr>
        <w:spacing w:after="140"/>
      </w:pPr>
      <w:r>
        <w:rPr>
          <w:rFonts w:ascii="Aptos" w:cs="Aptos" w:eastAsia="Aptos" w:hAnsi="Aptos"/>
          <w:i/>
          <w:iCs/>
          <w:color w:val="595959"/>
          <w:sz w:val="24"/>
          <w:szCs w:val="24"/>
        </w:rPr>
        <w:t>«Every connection this system has to another system or party, including any peer-to-peer link. Each connection must be approved and recorded here. Review the list at least after each risk review. This is the approved-connections register.»</w:t>
      </w:r>
    </w:p>
    <w:p>
      <w:pPr>
        <w:spacing w:after="120" w:before="0"/>
      </w:pPr>
      <w:r>
        <w:rPr>
          <w:rFonts w:ascii="Aptos" w:cs="Aptos" w:eastAsia="Aptos" w:hAnsi="Aptos"/>
          <w:b w:val="false"/>
          <w:bCs w:val="false"/>
          <w:i w:val="false"/>
          <w:iCs w:val="false"/>
          <w:sz w:val="24"/>
          <w:szCs w:val="24"/>
        </w:rPr>
        <w:t>This section records how the system connects and what data crosses each connection. A connection is not authorized until it is approved and listed here. Summarize external connections that also appear in the External Connection Inventory; record remote-device connections in the Authorized Remote Device Register and reference them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cantSplit/>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Connected system / party</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Direction &amp; data exchanged</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Protocol / port</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Connection type (incl. P2P)</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Approved by (role) / date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{systemOrParty}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[inbound / outbound / both: what data]</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{protocolPort}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[e.g., site-to-site VPN, API, peer-to-peer]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{reviewerRole2} / {effectiveDate3}</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{systemOrParty2}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[inbound / outbound / both: what data]</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{protocolPort2}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{connectionType}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{reviewerRole3} / {effectiveDate4}</w:t>
            </w:r>
          </w:p>
        </w:tc>
      </w:tr>
    </w:tbl>
    <w:p>
      <w:pPr>
        <w:pStyle w:val="Heading2"/>
        <w:spacing w:after="100" w:before="220"/>
      </w:pPr>
      <w:r>
        <w:rPr>
          <w:rFonts w:ascii="Aptos" w:cs="Aptos" w:eastAsia="Aptos" w:hAnsi="Aptos"/>
          <w:b/>
          <w:bCs/>
          <w:color w:val="1B3A5C"/>
          <w:sz w:val="26"/>
          <w:szCs w:val="26"/>
        </w:rPr>
        <w:t>5. Controls in Place</w:t>
      </w:r>
    </w:p>
    <w:p>
      <w:pPr>
        <w:spacing w:after="140"/>
      </w:pPr>
      <w:r>
        <w:rPr>
          <w:rFonts w:ascii="Aptos" w:cs="Aptos" w:eastAsia="Aptos" w:hAnsi="Aptos"/>
          <w:i/>
          <w:iCs/>
          <w:color w:val="595959"/>
          <w:sz w:val="24"/>
          <w:szCs w:val="24"/>
        </w:rPr>
        <w:t>«The security controls in place on this system, by area. Record what is actually implemented, not what is planned. Mark partial or planned items honestly; gaps belong in the Risk / Finding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Control area</w:t>
            </w:r>
          </w:p>
        </w:tc>
        <w:tc>
          <w:tcPr>
            <w:tcW w:type="dxa" w:w="3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Implementation status</w:t>
            </w:r>
          </w:p>
        </w:tc>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Notes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[control area: e.g., access control, logging, endpoint protection, encryption, patching]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{implementationStatus}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[how it is implemented; reference the governing policy]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{controlArea}</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{implementationStatus2}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{notes}</w:t>
            </w:r>
          </w:p>
        </w:tc>
      </w:tr>
    </w:tbl>
    <w:p>
      <w:pPr>
        <w:pStyle w:val="Heading2"/>
        <w:spacing w:after="100" w:before="220"/>
      </w:pPr>
      <w:r>
        <w:rPr>
          <w:rFonts w:ascii="Aptos" w:cs="Aptos" w:eastAsia="Aptos" w:hAnsi="Aptos"/>
          <w:b/>
          <w:bCs/>
          <w:color w:val="1B3A5C"/>
          <w:sz w:val="26"/>
          <w:szCs w:val="26"/>
        </w:rPr>
        <w:t>6. Control Baseline &amp; Deviations</w:t>
      </w:r>
    </w:p>
    <w:p>
      <w:pPr>
        <w:spacing w:after="140"/>
      </w:pPr>
      <w:r>
        <w:rPr>
          <w:rFonts w:ascii="Aptos" w:cs="Aptos" w:eastAsia="Aptos" w:hAnsi="Aptos"/>
          <w:i/>
          <w:iCs/>
          <w:color w:val="595959"/>
          <w:sz w:val="24"/>
          <w:szCs w:val="24"/>
        </w:rPr>
        <w:t>«The approved baseline for each control and any approved deviation from it, with who approved the deviation and when. A deviation without an approval is a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cantSplit/>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Control</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Approved baseline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Deviation?</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by (role)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{control}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{approvedBaseline}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{yesNo}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{reviewerRole4}</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{effectiveDate5}</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{control2}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{approvedBaseline2}</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{yesNo2}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{effectiveDate6}</w:t>
            </w:r>
          </w:p>
        </w:tc>
      </w:tr>
    </w:tbl>
    <w:p>
      <w:pPr>
        <w:pStyle w:val="Heading2"/>
        <w:spacing w:after="100" w:before="220"/>
      </w:pPr>
      <w:r>
        <w:rPr>
          <w:rFonts w:ascii="Aptos" w:cs="Aptos" w:eastAsia="Aptos" w:hAnsi="Aptos"/>
          <w:b/>
          <w:bCs/>
          <w:color w:val="1B3A5C"/>
          <w:sz w:val="26"/>
          <w:szCs w:val="26"/>
        </w:rPr>
        <w:t>7. Validation &amp; Review</w:t>
      </w:r>
    </w:p>
    <w:p>
      <w:pPr>
        <w:spacing w:after="140"/>
      </w:pPr>
      <w:r>
        <w:rPr>
          <w:rFonts w:ascii="Aptos" w:cs="Aptos" w:eastAsia="Aptos" w:hAnsi="Aptos"/>
          <w:i/>
          <w:iCs/>
          <w:color w:val="595959"/>
          <w:sz w:val="24"/>
          <w:szCs w:val="24"/>
        </w:rPr>
        <w:t xml:space="preserve">«How and how often the as-built state is checked against the approved baseline, and who does it. Each change is recorded in the Change History below.»</w:t>
      </w:r>
    </w:p>
    <w:p>
      <w:pPr>
        <w:spacing w:after="120" w:before="0"/>
      </w:pPr>
      <w:r>
        <w:rPr>
          <w:rFonts w:ascii="Aptos" w:cs="Aptos" w:eastAsia="Aptos" w:hAnsi="Aptos"/>
          <w:b w:val="false"/>
          <w:bCs w:val="false"/>
          <w:i w:val="false"/>
          <w:iCs w:val="false"/>
          <w:sz w:val="24"/>
          <w:szCs w:val="24"/>
        </w:rPr>
        <w:t>Validated against the system's controls and the governing policies after each risk review and at least {reviewCadence}, by the {systemOwnerRole2}. Each change is recorded in the Change History below.</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Keep one short plan per critical system: at least CAD, and any other system the risk review flags. The director, with county or vendor IT, fills identity from the Master Asset Inventory and the tier from the Asset Criticality Ranking Matrix. A manual record is fine. Update after the annual risk review.</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The security coordinator keeps a plan for each critical system and the approved-connections list current. Review after each risk review and on any major system or integration change.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IT/security maintains a plan for every critical system, with categorization, interconnections, and controls kept current as integrations change, tied into the Agency's configuration-management process and reviewed on a set schedule.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NENA-STA-040.2-2024: §4.2.2, §5.4, §6.11</w:t>
            </w:r>
          </w:p>
          <w:p>
            <w:pPr>
              <w:spacing w:after="40" w:before="0"/>
            </w:pPr>
            <w:r>
              <w:rPr>
                <w:rFonts w:ascii="Aptos" w:cs="Aptos" w:eastAsia="Aptos" w:hAnsi="Aptos"/>
                <w:b w:val="false"/>
                <w:bCs w:val="false"/>
                <w:i w:val="false"/>
                <w:iCs w:val="false"/>
                <w:sz w:val="24"/>
                <w:szCs w:val="24"/>
              </w:rPr>
              <w:t>NIST SP 800-53 Rev. 5: CA-3, CM-2, CM-8, PL-2, PL-8, PM-5, RA-2</w:t>
            </w:r>
          </w:p>
          <w:p>
            <w:pPr>
              <w:spacing w:after="40" w:before="0"/>
            </w:pPr>
            <w:r>
              <w:rPr>
                <w:rFonts w:ascii="Aptos" w:cs="Aptos" w:eastAsia="Aptos" w:hAnsi="Aptos"/>
                <w:b w:val="false"/>
                <w:bCs w:val="false"/>
                <w:i w:val="false"/>
                <w:iCs w:val="false"/>
                <w:sz w:val="24"/>
                <w:szCs w:val="24"/>
              </w:rPr>
              <w:t>Indiana statutes and administrative code:</w:t>
            </w:r>
          </w:p>
          <w:p>
            <w:pPr>
              <w:spacing w:after="0" w:before="0"/>
            </w:pPr>
            <w:r>
              <w:rPr>
                <w:rFonts w:ascii="Aptos" w:cs="Aptos" w:eastAsia="Aptos" w:hAnsi="Aptos"/>
                <w:b w:val="false"/>
                <w:bCs w:val="false"/>
                <w:i w:val="false"/>
                <w:iCs w:val="false"/>
                <w:sz w:val="24"/>
                <w:szCs w:val="24"/>
              </w:rPr>
              <w:t xml:space="preserve">    240 IAC 5: IDACS Security (where the system connects to IDACS)</w:t>
            </w:r>
          </w:p>
          <w:p>
            <w:pPr>
              <w:spacing w:after="40" w:before="0"/>
            </w:pPr>
            <w:r>
              <w:rPr>
                <w:rFonts w:ascii="Aptos" w:cs="Aptos" w:eastAsia="Aptos" w:hAnsi="Aptos"/>
                <w:b w:val="false"/>
                <w:bCs w:val="false"/>
                <w:i w:val="false"/>
                <w:iCs w:val="false"/>
                <w:sz w:val="24"/>
                <w:szCs w:val="24"/>
              </w:rPr>
              <w:t>CJIS Security Policy v5.9: §5.1 (Information Exchange Agreements; where CJIS-regulated data is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{systemOwnerRole3}</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{securityReviewerRole}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Change History</w:t>
      </w:r>
    </w:p>
    <w:p>
      <w:pPr>
        <w:spacing w:after="140"/>
      </w:pPr>
      <w:r>
        <w:rPr>
          <w:rFonts w:ascii="Aptos" w:cs="Aptos" w:eastAsia="Aptos" w:hAnsi="Aptos"/>
          <w:i/>
          <w:iCs/>
          <w:color w:val="595959"/>
          <w:sz w:val="24"/>
          <w:szCs w:val="24"/>
        </w:rPr>
        <w:t xml:space="preserve">«This table is the Configuration Record’s required change-history element. Add one row per configuration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{effectiveDate7}</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{reviewerRole6}</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Complete one record per critical system; copy this template per system. System identity comes from the Master Asset Inventory, the criticality tier from the Asset Criticality Ranking Matrix, and data sensitivity from the Data Classification Policy. Do not re-derive these here.</w:t>
            </w:r>
          </w:p>
          <w:p>
            <w:pPr>
              <w:spacing w:after="140"/>
            </w:pPr>
            <w:r>
              <w:rPr>
                <w:rFonts w:ascii="Aptos" w:cs="Aptos" w:eastAsia="Aptos" w:hAnsi="Aptos"/>
                <w:i/>
                <w:iCs/>
                <w:color w:val="595959"/>
                <w:sz w:val="24"/>
                <w:szCs w:val="24"/>
              </w:rPr>
              <w:t>The 240 IAC 5 and CJIS Security Policy lines apply only to systems that connect to IDACS or carry CJIS-regulated data. Confirm per system, and append “ / CJIS” to the Classification where they do.</w:t>
            </w:r>
          </w:p>
          <w:p>
            <w:pPr>
              <w:spacing w:after="140"/>
            </w:pPr>
            <w:r>
              <w:rPr>
                <w:rFonts w:ascii="Aptos" w:cs="Aptos" w:eastAsia="Aptos" w:hAnsi="Aptos"/>
                <w:i/>
                <w:iCs/>
                <w:color w:val="595959"/>
                <w:sz w:val="24"/>
                <w:szCs w:val="24"/>
              </w:rPr>
              <w:t>Cross-referenced artifacts use their Tracker names: Master Asset Inventory, Asset Criticality Ranking Matrix, Data Classification Policy, External Connection Inventory, Authorized Remote Device Register, Cybersecurity &amp; Privacy Policy, Risk Management Methodology Standard, Risk / Finding Register (POA&amp;M).</w:t>
            </w:r>
          </w:p>
          <w:p>
            <w:pPr>
              <w:spacing w:after="140"/>
            </w:pPr>
            <w:r>
              <w:rPr>
                <w:rFonts w:ascii="Aptos" w:cs="Aptos" w:eastAsia="Aptos" w:hAnsi="Aptos"/>
                <w:i/>
                <w:iCs/>
                <w:color w:val="595959"/>
                <w:sz w:val="24"/>
                <w:szCs w:val="24"/>
              </w:rPr>
              <w:t>Type note: this artifact is a Configuration Record (as-built evidence of a system's controls), not a Plan, despite NIST’s “System Security Plan” label (PL-2).</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2026-06-01T15:29:11.476Z</dcterms:created>
  <dcterms:modified xsi:type="dcterms:W3CDTF">2026-06-01T15:29:11.476Z</dcterms:modified>
  <dc:title xmlns:dc="http://purl.org/dc/elements/1.1/">System Security Plans (per critical system) - FORM</dc:title>
</cp:coreProperties>
</file>

<file path=docProps/custom.xml><?xml version="1.0" encoding="utf-8"?>
<Properties xmlns="http://schemas.openxmlformats.org/officeDocument/2006/custom-properties" xmlns:vt="http://schemas.openxmlformats.org/officeDocument/2006/docPropsVTypes"/>
</file>