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Session Monitoring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 / CJIS</w:t>
            </w:r>
          </w:p>
          <w:p>
            <w:pPr>
              <w:spacing w:after="0"/>
            </w:pPr>
            <w:r>
              <w:rPr>
                <w:rFonts w:ascii="Aptos" w:cs="Aptos" w:eastAsia="Aptos" w:hAnsi="Aptos"/>
                <w:i/>
                <w:iCs/>
                <w:color w:val="595959"/>
                <w:sz w:val="24"/>
                <w:szCs w:val="24"/>
              </w:rPr>
              <w:t xml:space="preserve">«Minimum for Configuration Record artifacts. Stays Restricted; the / CJIS overlay is appended because session events on IDACS-connected systems are in scope.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session-capture settings on the Agency's access systems: which session events are recorded, the timeout values as configured, and the alerting for unusual behavior. Scope is session capture on access systems (workstations, call-handling, and remote access). The central monitoring platform is documented in the SIEM / Monitoring Tool Configuration Records. This record implements the Session Management Policy.</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access systems: workstations / CAD / remote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{onPremSite}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{assetId}</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{sessionEventsRecorded}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{loginsFailuresPrivilegeChanges}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{perTheSessionManagementPolicy}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{idleLockTimeout}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10 min workstation]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{bySystemType}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{sessionTermination}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{onDisconnectFailedCheck}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{reauthenticationRequired}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{anomalyAlerting}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[e.g., off-hours login]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{sbcSessionRecording}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{tamperEvidentSeeLogIntegrityVerification}</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Session Management Policy at least {reviewCadence} by the {ownerRole}; timeout changes and new monitored events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 central tooling. Record the lock and timeout settings the workstations and CAD already enforce and where their session logs are kept. The manual equivalent is a documented periodic check that lock and timeout are on and that logins trace to individuals.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session-capture settings across the access systems and forwards session events to a central store; anomalies are reviewed on a cadence.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events across access systems feed the SIEM with tuned anomaly alerts; this record is the as-built evidence, reconciled at each review.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§5.6.2 (Security Event Logging)</w:t>
            </w:r>
          </w:p>
          <w:p>
            <w:pPr>
              <w:spacing w:after="40" w:before="0"/>
            </w:pPr>
            <w:r>
              <w:rPr>
                <w:rFonts w:ascii="Aptos" w:cs="Aptos" w:eastAsia="Aptos" w:hAnsi="Aptos"/>
                <w:b w:val="false"/>
                <w:bCs w:val="false"/>
                <w:i w:val="false"/>
                <w:iCs w:val="false"/>
                <w:sz w:val="24"/>
                <w:szCs w:val="24"/>
              </w:rPr>
              <w:t xml:space="preserve">NIST SP 800-53 Rev. 5: AC-11, AC-12, AU-2, AU-3, AU-6, AU-12</w:t>
            </w:r>
          </w:p>
          <w:p>
            <w:pPr>
              <w:spacing w:after="40" w:before="0"/>
            </w:pPr>
            <w:r>
              <w:rPr>
                <w:rFonts w:ascii="Aptos" w:cs="Aptos" w:eastAsia="Aptos" w:hAnsi="Aptos"/>
                <w:b w:val="false"/>
                <w:bCs w:val="false"/>
                <w:i w:val="false"/>
                <w:iCs w:val="false"/>
                <w:sz w:val="24"/>
                <w:szCs w:val="24"/>
              </w:rPr>
              <w:t xml:space="preserve">CJIS Security Policy v5.9: §5.4 (Auditing and Accountability) (where IDACS-connected sessions are in scope)</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Session Monitoring Configuration Records for category 2.F. Restricted / CJIS: session events on IDACS-connected access systems are in scope. This record covers session capture on access systems only; the central platform is in the SIEM / Monitoring Tool Configuration Records, and log-integrity protection in the Log Integrity Verification Procedures. It implements the Session Management Policy. Name each source system rather than restating its configuration. Confirm the Agency's monitored events, timeout values, and SBC session-recording status.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Session Monitoring Configuration Records - FORM</dc:title>
</cp:coreProperties>
</file>

<file path=docProps/custom.xml><?xml version="1.0" encoding="utf-8"?>
<Properties xmlns="http://schemas.openxmlformats.org/officeDocument/2006/custom-properties" xmlns:vt="http://schemas.openxmlformats.org/officeDocument/2006/docPropsVTypes"/>
</file>