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Anti-Phishing / Spam Filter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p>
            <w:pPr>
              <w:spacing w:after="0"/>
            </w:pPr>
            <w:r>
              <w:rPr>
                <w:rFonts w:ascii="Aptos" w:cs="Aptos" w:eastAsia="Aptos" w:hAnsi="Aptos"/>
                <w:i/>
                <w:iCs/>
                <w:color w:val="595959"/>
                <w:sz w:val="24"/>
                <w:szCs w:val="24"/>
              </w:rPr>
              <w:t xml:space="preserve">«Minimum for Configuration Record artifacts. Stays Restricted: this record reveals the Agency’s mail-filtering defenses.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configuration of the Agency’s email filtering: the anti-spam and anti-phishing tooling, how inbound attachments and links are scanned or sandboxed, what happens to mail that is flagged, and how malicious mail raises an alert. It is evidence of compliance with the Email Security Policy, not the rule itself. Record settings as they are configured, not as they should be.</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{mailSecuritySystem}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{onPremCloudHostedMail}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{assetId}</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{inboundScanningScope}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{attachmentsLinksMessageBody}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{whatInboundMailIsInspectedFor}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{attachmentSandboxingDetonation}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{onOffFileTypesHeld}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{suspiciousAttachmentsAnalyzedBeforeDeliv}</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{linkProtection}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{onOffTimeOfClickRewrite}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{maliciousUrlBlockingOnInboundLinks}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{actionOnDetection}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{blockQuarantineTag}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{byVerdictMalwarePhishingSpam}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{externalSenderMarking}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{onOff}</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{externalBannerAppliedToInboundMail}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{outboundScanning}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{onOff2}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malware and policy checks on outbound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{quarantineAndRelease}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{whoMayReleaseRetentionPeriod}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{releaseRestrictedToApprovedTrainedStaff}</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{alertingAndMonitoring}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{alertTriggersAndRouting}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Alert Triage &amp; Escalation Procedure</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Email Security Policy at least {reviewCadence} by the {ownerRole}; filter changes and new detection rules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central tooling to manage. Use the filtering built into the hosted mail service (spam and phishing protection, attachment scanning) and record which features are on. One person confirms the settings on a set cadence.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runs the mail-security gateway or hosted service, records the inbound and outbound settings across the Agency, and tunes detection rules. Quarantine release is limited to trained staff.</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mail-security platform enforces sandboxing, link protection, and external-sender marking, with detection alerts feeding the SIEM and the Alert Triage &amp; Escalation Procedure. Settings are reviewed on a defined cycle.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0"/>
                <w:bCs w:val="false"/>
                <w:i w:val="0"/>
                <w:iCs w:val="false"/>
                <w:sz w:val="24"/>
                <w:szCs w:val="24"/>
              </w:rPr>
              <w:t xml:space="preserve">NENA-STA-040.2-2024: §5.6.4 (Intrusion Monitoring and Detection); §6.19 (Endpoint Security); §6.20 (Email)</w:t>
            </w:r>
          </w:p>
          <w:p>
            <w:pPr>
              <w:spacing w:after="40" w:before="0"/>
            </w:pPr>
            <w:r>
              <w:rPr>
                <w:rFonts w:ascii="Aptos" w:cs="Aptos" w:eastAsia="Aptos" w:hAnsi="Aptos"/>
                <w:b w:val="0"/>
                <w:bCs w:val="false"/>
                <w:i w:val="0"/>
                <w:iCs w:val="false"/>
                <w:sz w:val="24"/>
                <w:szCs w:val="24"/>
              </w:rPr>
              <w:t xml:space="preserve">NIST SP 800-53 Rev. 5: SC-7, SI-3, SI-4, SI-8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{securityReviewerRole}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Anti-Phishing / Spam Filter Configuration Records for category 4.D. Restricted: reveals the Agency’s mail-filtering defenses. This record documents the as-built mail filtering and implements the Email Security Policy; authentication settings (SPF, DKIM, DMARC, TLS) live in the Email Authentication Configuration Records, and alert handling in the Alert Triage &amp; Escalation Procedure. Name the filtering system rather than restating vendor documentation. Confirm the Agency’s inbound and outbound scanning scope, sandboxing status, detection actions, and quarantine-release authority.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Anti-Phishing / Spam Filter Configuration Records - FORM</dc:title>
</cp:coreProperties>
</file>

<file path=docProps/custom.xml><?xml version="1.0" encoding="utf-8"?>
<Properties xmlns="http://schemas.openxmlformats.org/officeDocument/2006/custom-properties" xmlns:vt="http://schemas.openxmlformats.org/officeDocument/2006/docPropsVTypes"/>
</file>