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Event Review Meeting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0"/>
                <w:iCs w:val="false"/>
                <w:sz w:val="24"/>
                <w:szCs w:val="24"/>
              </w:rPr>
              <w:t xml:space="preserve">Classification: </w:t>
            </w:r>
            <w:r>
              <w:rPr>
                <w:rFonts w:ascii="Aptos" w:cs="Aptos" w:eastAsia="Aptos" w:hAnsi="Aptos"/>
                <w:b w:val="0"/>
                <w:bCs/>
                <w:i w:val="0"/>
                <w:iCs w:val="false"/>
                <w:sz w:val="24"/>
                <w:szCs w:val="24"/>
              </w:rPr>
              <w:t xml:space="preserve">Restricted</w:t>
            </w:r>
          </w:p>
          <w:p>
            <w:pPr>
              <w:spacing w:after="0"/>
            </w:pPr>
            <w:r>
              <w:rPr>
                <w:rFonts w:ascii="Aptos" w:cs="Aptos" w:eastAsia="Aptos" w:hAnsi="Aptos"/>
                <w:i/>
                <w:iCs/>
                <w:color w:val="595959"/>
                <w:sz w:val="24"/>
                <w:szCs w:val="24"/>
              </w:rPr>
              <w:t xml:space="preserve">«Minimum for this record: it captures aggregate security-event review. Stays Restricted; raise to Confidential if it records sensitive incident detail.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 xml:space="preserve">This template is ready to adopt. Replace every [BRACKETED] field per meeting,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Meeting Identification</w:t>
      </w:r>
    </w:p>
    <w:p>
      <w:pPr>
        <w:spacing w:after="140"/>
      </w:pPr>
      <w:r>
        <w:rPr>
          <w:rFonts w:ascii="Aptos" w:cs="Aptos" w:eastAsia="Aptos" w:hAnsi="Aptos"/>
          <w:i/>
          <w:iCs/>
          <w:color w:val="595959"/>
          <w:sz w:val="24"/>
          <w:szCs w:val="24"/>
        </w:rPr>
        <w:t xml:space="preserve">«One line each. This is the periodic security event review meeting. Record when and where it met and the cadence it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bCs/>
                <w:i w:val="false"/>
                <w:iCs w:val="false"/>
                <w:sz w:val="24"/>
                <w:szCs w:val="24"/>
              </w:rPr>
              <w:t xml:space="preserve">Date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bCs/>
                <w:i w:val="false"/>
                <w:iCs w:val="false"/>
                <w:sz w:val="24"/>
                <w:szCs w:val="24"/>
              </w:rPr>
              <w:t xml:space="preserve">Time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{startTime} to {endTime}</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bCs/>
                <w:i w:val="false"/>
                <w:iCs w:val="false"/>
                <w:sz w:val="24"/>
                <w:szCs w:val="24"/>
              </w:rPr>
              <w:t xml:space="preserve">Location / medium</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{location}</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bCs/>
                <w:i w:val="false"/>
                <w:iCs w:val="false"/>
                <w:sz w:val="24"/>
                <w:szCs w:val="24"/>
              </w:rPr>
              <w:t xml:space="preserve">Meeting type &amp; cadence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[e.g., Weekly Security Event Review]</w:t>
            </w:r>
          </w:p>
        </w:tc>
      </w:tr>
    </w:tbl>
    <w:p>
      <w:pPr>
        <w:pStyle w:val="Heading2"/>
        <w:spacing w:after="100" w:before="220"/>
      </w:pPr>
      <w:r>
        <w:rPr>
          <w:rFonts w:ascii="Aptos" w:cs="Aptos" w:eastAsia="Aptos" w:hAnsi="Aptos"/>
          <w:b/>
          <w:bCs/>
          <w:color w:val="1B3A5C"/>
          <w:sz w:val="26"/>
          <w:szCs w:val="26"/>
        </w:rPr>
        <w:t xml:space="preserve">2. Attendees</w:t>
      </w:r>
    </w:p>
    <w:p>
      <w:pPr>
        <w:spacing w:after="140"/>
      </w:pPr>
      <w:r>
        <w:rPr>
          <w:rFonts w:ascii="Aptos" w:cs="Aptos" w:eastAsia="Aptos" w:hAnsi="Aptos"/>
          <w:i/>
          <w:iCs/>
          <w:color w:val="595959"/>
          <w:sz w:val="24"/>
          <w:szCs w:val="24"/>
        </w:rPr>
        <w:t xml:space="preserve">«List everyone present and their role. Names are expected here; this is a record, not a brand-free policy. Mark absences.»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000"/>
        <w:gridCol w:w="1960"/>
      </w:tblGrid>
      <w:tr>
        <w:trPr>
          <w:cantSplit/>
          <w:tblHeader/>
        </w:trPr>
        <w:tc>
          <w:tcPr>
            <w:tcW w:type="dxa" w:w="3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4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Title</w:t>
            </w:r>
          </w:p>
        </w:tc>
        <w:tc>
          <w:tcPr>
            <w:tcW w:type="dxa" w:w="19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Present (Y/N)</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{entryName}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{roleTitle2}</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{yesNo}</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{entryName2}</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{roleTitle3}</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{yesNo2}</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{entryName3}</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{roleTitle4}</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{yesNo3}</w:t>
            </w:r>
          </w:p>
        </w:tc>
      </w:tr>
    </w:tbl>
    <w:p>
      <w:pPr>
        <w:pStyle w:val="Heading2"/>
        <w:spacing w:after="100" w:before="220"/>
      </w:pPr>
      <w:r>
        <w:rPr>
          <w:rFonts w:ascii="Aptos" w:cs="Aptos" w:eastAsia="Aptos" w:hAnsi="Aptos"/>
          <w:b/>
          <w:bCs/>
          <w:color w:val="1B3A5C"/>
          <w:sz w:val="26"/>
          <w:szCs w:val="26"/>
        </w:rPr>
        <w:t xml:space="preserve">3. Topics Reviewed</w:t>
      </w:r>
    </w:p>
    <w:p>
      <w:pPr>
        <w:spacing w:after="140"/>
      </w:pPr>
      <w:r>
        <w:rPr>
          <w:rFonts w:ascii="Aptos" w:cs="Aptos" w:eastAsia="Aptos" w:hAnsi="Aptos"/>
          <w:i/>
          <w:iCs/>
          <w:color w:val="595959"/>
          <w:sz w:val="24"/>
          <w:szCs w:val="24"/>
        </w:rPr>
        <w:t xml:space="preserve">«What the review covered. Keep each line short; attach detail rather than restating it.»</w:t>
      </w:r>
    </w:p>
    <w:p>
      <w:pPr>
        <w:spacing w:after="120" w:before="0"/>
      </w:pPr>
      <w:r>
        <w:rPr>
          <w:rFonts w:ascii="Aptos" w:cs="Aptos" w:eastAsia="Aptos" w:hAnsi="Aptos"/>
          <w:b/>
          <w:bCs/>
          <w:i w:val="false"/>
          <w:iCs w:val="false"/>
          <w:sz w:val="24"/>
          <w:szCs w:val="24"/>
        </w:rPr>
        <w:t xml:space="preserve">Sources and period reviewed: {sourcesAndPeriodReviewed}.</w:t>
      </w:r>
    </w:p>
    <w:p>
      <w:pPr>
        <w:spacing w:after="120" w:before="0"/>
      </w:pPr>
      <w:r>
        <w:rPr>
          <w:rFonts w:ascii="Aptos" w:cs="Aptos" w:eastAsia="Aptos" w:hAnsi="Aptos"/>
          <w:b/>
          <w:bCs/>
          <w:i w:val="false"/>
          <w:iCs w:val="false"/>
          <w:sz w:val="24"/>
          <w:szCs w:val="24"/>
        </w:rPr>
        <w:t xml:space="preserve">Volume and notable events: {keyCountsAndAnyNotableEvents}.</w:t>
      </w:r>
    </w:p>
    <w:p>
      <w:pPr>
        <w:spacing w:after="120" w:before="0"/>
      </w:pPr>
      <w:r>
        <w:rPr>
          <w:rFonts w:ascii="Aptos" w:cs="Aptos" w:eastAsia="Aptos" w:hAnsi="Aptos"/>
          <w:b/>
          <w:bCs/>
          <w:i w:val="false"/>
          <w:iCs w:val="false"/>
          <w:sz w:val="24"/>
          <w:szCs w:val="24"/>
        </w:rPr>
        <w:t xml:space="preserve">Anomalies examined: {anomaliesReviewed}.</w:t>
      </w:r>
    </w:p>
    <w:p>
      <w:pPr>
        <w:spacing w:after="120" w:before="0"/>
      </w:pPr>
      <w:r>
        <w:rPr>
          <w:rFonts w:ascii="Aptos" w:cs="Aptos" w:eastAsia="Aptos" w:hAnsi="Aptos"/>
          <w:b/>
          <w:bCs/>
          <w:i w:val="false"/>
          <w:iCs w:val="false"/>
          <w:sz w:val="24"/>
          <w:szCs w:val="24"/>
        </w:rPr>
        <w:t xml:space="preserve">Open items carried from the last review: {itemsStillOpen}.</w:t>
      </w:r>
    </w:p>
    <w:p>
      <w:pPr>
        <w:pStyle w:val="Heading2"/>
        <w:spacing w:after="100" w:before="220"/>
      </w:pPr>
      <w:r>
        <w:rPr>
          <w:rFonts w:ascii="Aptos" w:cs="Aptos" w:eastAsia="Aptos" w:hAnsi="Aptos"/>
          <w:b/>
          <w:bCs/>
          <w:color w:val="1B3A5C"/>
          <w:sz w:val="26"/>
          <w:szCs w:val="26"/>
        </w:rPr>
        <w:t xml:space="preserve">4. Decisions &amp; Priorities</w:t>
      </w:r>
    </w:p>
    <w:p>
      <w:pPr>
        <w:spacing w:after="140"/>
      </w:pPr>
      <w:r>
        <w:rPr>
          <w:rFonts w:ascii="Aptos" w:cs="Aptos" w:eastAsia="Aptos" w:hAnsi="Aptos"/>
          <w:i/>
          <w:iCs/>
          <w:color w:val="595959"/>
          <w:sz w:val="24"/>
          <w:szCs w:val="24"/>
        </w:rPr>
        <w:t xml:space="preserve">«Each decision the review made and the priorities set for the next period. One per line.»</w:t>
      </w:r>
    </w:p>
    <w:p>
      <w:pPr>
        <w:spacing w:after="120" w:before="0"/>
      </w:pPr>
      <w:r>
        <w:rPr>
          <w:rFonts w:ascii="Aptos" w:cs="Aptos" w:eastAsia="Aptos" w:hAnsi="Aptos"/>
          <w:b w:val="false"/>
          <w:bCs w:val="false"/>
          <w:i w:val="false"/>
          <w:iCs w:val="false"/>
          <w:sz w:val="24"/>
          <w:szCs w:val="24"/>
        </w:rPr>
        <w:t xml:space="preserve">{decisionOrPriority}.</w:t>
      </w:r>
    </w:p>
    <w:p>
      <w:pPr>
        <w:spacing w:after="120" w:before="0"/>
      </w:pPr>
      <w:r>
        <w:rPr>
          <w:rFonts w:ascii="Aptos" w:cs="Aptos" w:eastAsia="Aptos" w:hAnsi="Aptos"/>
          <w:b w:val="false"/>
          <w:bCs w:val="false"/>
          <w:i w:val="false"/>
          <w:iCs w:val="false"/>
          <w:sz w:val="24"/>
          <w:szCs w:val="24"/>
        </w:rPr>
        <w:t xml:space="preserve">{decisionOrPriority2}.</w:t>
      </w:r>
    </w:p>
    <w:p>
      <w:pPr>
        <w:pStyle w:val="Heading2"/>
        <w:spacing w:after="100" w:before="220"/>
      </w:pPr>
      <w:r>
        <w:rPr>
          <w:rFonts w:ascii="Aptos" w:cs="Aptos" w:eastAsia="Aptos" w:hAnsi="Aptos"/>
          <w:b/>
          <w:bCs/>
          <w:color w:val="1B3A5C"/>
          <w:sz w:val="26"/>
          <w:szCs w:val="26"/>
        </w:rPr>
        <w:t xml:space="preserve">5. Action Items</w:t>
      </w:r>
    </w:p>
    <w:p>
      <w:pPr>
        <w:spacing w:after="140"/>
      </w:pPr>
      <w:r>
        <w:rPr>
          <w:rFonts w:ascii="Aptos" w:cs="Aptos" w:eastAsia="Aptos" w:hAnsi="Aptos"/>
          <w:i/>
          <w:iCs/>
          <w:color w:val="595959"/>
          <w:sz w:val="24"/>
          <w:szCs w:val="24"/>
        </w:rPr>
        <w:t xml:space="preserve">«Each action, the role that owns it, and when it is due. Mirror items that carry risk into the Risk / Finding Register (POA&amp;M).»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1560"/>
        <w:gridCol w:w="1400"/>
      </w:tblGrid>
      <w:tr>
        <w:trPr>
          <w:cantSplit/>
          <w:tblHeader/>
        </w:trPr>
        <w:tc>
          <w:tcPr>
            <w:tcW w:type="dxa" w:w="4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 Item</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Owner (Role)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Due Date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Status</w:t>
            </w:r>
          </w:p>
        </w:tc>
      </w:tr>
      <w:tr>
        <w:trPr>
          <w:cantSplit/>
        </w:trP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{effectiveDate4}</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{statusOpen}</w:t>
            </w:r>
          </w:p>
        </w:tc>
      </w:tr>
      <w:tr>
        <w:trPr>
          <w:cantSplit/>
        </w:trP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{action2}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{statusOpen2}</w:t>
            </w:r>
          </w:p>
        </w:tc>
      </w:tr>
    </w:tbl>
    <w:p>
      <w:pPr>
        <w:pStyle w:val="Heading2"/>
        <w:spacing w:after="100" w:before="220"/>
      </w:pPr>
      <w:r>
        <w:rPr>
          <w:rFonts w:ascii="Aptos" w:cs="Aptos" w:eastAsia="Aptos" w:hAnsi="Aptos"/>
          <w:b/>
          <w:bCs/>
          <w:color w:val="1B3A5C"/>
          <w:sz w:val="26"/>
          <w:szCs w:val="26"/>
        </w:rPr>
        <w:t xml:space="preserve">6. Next Meeting</w:t>
      </w:r>
    </w:p>
    <w:p>
      <w:pPr>
        <w:spacing w:after="140"/>
      </w:pPr>
      <w:r>
        <w:rPr>
          <w:rFonts w:ascii="Aptos" w:cs="Aptos" w:eastAsia="Aptos" w:hAnsi="Aptos"/>
          <w:i/>
          <w:iCs/>
          <w:color w:val="595959"/>
          <w:sz w:val="24"/>
          <w:szCs w:val="24"/>
        </w:rPr>
        <w:t xml:space="preserve">«Date and focus of the next scheduled review.»</w:t>
      </w:r>
    </w:p>
    <w:p>
      <w:pPr>
        <w:spacing w:after="120" w:before="0"/>
      </w:pP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{effectiveDate6}. Focus: {topic}.</w:t>
      </w:r>
    </w:p>
    <w:p>
      <w:pPr>
        <w:pStyle w:val="Heading2"/>
        <w:spacing w:after="100" w:before="220"/>
      </w:pPr>
      <w:r>
        <w:rPr>
          <w:rFonts w:ascii="Aptos" w:cs="Aptos" w:eastAsia="Aptos" w:hAnsi="Aptos"/>
          <w:b/>
          <w:bCs/>
          <w:color w:val="1B3A5C"/>
          <w:sz w:val="26"/>
          <w:szCs w:val="26"/>
        </w:rPr>
        <w:t xml:space="preserve">Retention</w:t>
      </w:r>
    </w:p>
    <w:p>
      <w:pPr>
        <w:spacing w:after="140"/>
      </w:pPr>
      <w:r>
        <w:rPr>
          <w:rFonts w:ascii="Aptos" w:cs="Aptos" w:eastAsia="Aptos" w:hAnsi="Aptos"/>
          <w:i/>
          <w:iCs/>
          <w:color w:val="595959"/>
          <w:sz w:val="24"/>
          <w:szCs w:val="24"/>
        </w:rPr>
        <w:t xml:space="preserve">«State how long these records are retained and where, per the Log Retention Schedule.»</w:t>
      </w:r>
    </w:p>
    <w:p>
      <w:pPr>
        <w:spacing w:after="120" w:before="0"/>
      </w:pPr>
      <w:r>
        <w:rPr>
          <w:rFonts w:ascii="Aptos" w:cs="Aptos" w:eastAsia="Aptos" w:hAnsi="Aptos"/>
          <w:b/>
          <w:bCs/>
          <w:i w:val="false"/>
          <w:iCs w:val="false"/>
          <w:sz w:val="24"/>
          <w:szCs w:val="24"/>
        </w:rPr>
        <w:t xml:space="preserve">Retention: {period}, stored {location2}, per the Log Retention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0"/>
                <w:bCs w:val="false"/>
                <w:i w:val="0"/>
                <w:iCs w:val="false"/>
                <w:sz w:val="24"/>
                <w:szCs w:val="24"/>
              </w:rPr>
              <w:t xml:space="preserve">NENA-STA-040.2-2024: §5.6.2 (Security Event Logging); §5.6.3 (Information and Event Management); §5.6.4 (Intrusion Monitoring and Detection)</w:t>
            </w:r>
          </w:p>
          <w:p>
            <w:pPr>
              <w:spacing w:after="40" w:before="0"/>
            </w:pPr>
            <w:r>
              <w:rPr>
                <w:rFonts w:ascii="Aptos" w:cs="Aptos" w:eastAsia="Aptos" w:hAnsi="Aptos"/>
                <w:b w:val="0"/>
                <w:bCs w:val="false"/>
                <w:i w:val="0"/>
                <w:iCs w:val="false"/>
                <w:sz w:val="24"/>
                <w:szCs w:val="24"/>
              </w:rPr>
              <w:t xml:space="preserve">NIST SP 800-53 Rev. 5: AU-6, AU-7, CA-7</w:t>
            </w:r>
          </w:p>
        </w:tc>
      </w:tr>
    </w:tbl>
    <w:p>
      <w:pPr>
        <w:pStyle w:val="Heading2"/>
        <w:spacing w:after="100" w:before="220"/>
      </w:pPr>
      <w:r>
        <w:rPr>
          <w:rFonts w:ascii="Aptos" w:cs="Aptos" w:eastAsia="Aptos" w:hAnsi="Aptos"/>
          <w:b/>
          <w:bCs/>
          <w:color w:val="1B3A5C"/>
          <w:sz w:val="26"/>
          <w:szCs w:val="26"/>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{recordedByRole}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{chairRole}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{effectiveDate7}</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{reviewerRole3}</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Event Review Meeting Records for category 7.C. Restricted; raise to Confidential if a record captures sensitive incident detail. This record is the dated evidence of the periodic aggregate security-event review meeting governed by the Security Event Review Procedures; routine per-source log review is recorded in the Log Review Records. Names are expected here, as in any meeting record. Confirm the Agency’s review cadence, the sources reviewed, and where these records are retained.</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Event Review Meeting Records - FORM</dc:title>
</cp:coreProperties>
</file>

<file path=docProps/custom.xml><?xml version="1.0" encoding="utf-8"?>
<Properties xmlns="http://schemas.openxmlformats.org/officeDocument/2006/custom-properties" xmlns:vt="http://schemas.openxmlformats.org/officeDocument/2006/docPropsVTypes"/>
</file>