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Data Sharing &amp; Disclosure Approval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Procedure artifacts. This procedure governs authorized sharing; a release that includes CJIS-regulated data via IDACS raises to Internal / CJIS per the conditional section below.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defines how the Agency approves the sharing or release of sensitive data to another agency or a third party: who may approve a release, the risk factors weighed before it, and how approved data is transmitted securely. It governs deliberate, authorized sharing. An unauthorized disclosure or data spill is handled by the Unauthorized Disclosure Response &amp; Notification Procedures.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personnel who request, approve, or transmit shared data: the requester, the approving authority (the Director / Coordinator), and IT support.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approval workflow for sharing sensitive data with a partner agency or third party, the risk factors weighed before release, secure transmission of approved data, and execution of a Data Sharing Agreement (MOU).</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unauthorized disclosure or data spills, which follow the Unauthorized Disclosure Response &amp; Notification Procedures; and routine internal access, governed by the Data Classification Policy and the Data Access Monitoring Policy.</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Data Classification Policy sets the classification of the data proposed for sharing and the handling each class requires.</w:t>
      </w:r>
    </w:p>
    <w:p>
      <w:pPr>
        <w:pStyle w:val="ListParagraph"/>
        <w:numPr>
          <w:ilvl w:val="0"/>
          <w:numId w:val="2"/>
        </w:numPr>
        <w:spacing w:after="60"/>
      </w:pPr>
      <w:r>
        <w:rPr>
          <w:rFonts w:ascii="Aptos" w:cs="Aptos" w:eastAsia="Aptos" w:hAnsi="Aptos"/>
          <w:b w:val="false"/>
          <w:bCs w:val="false"/>
          <w:i w:val="false"/>
          <w:iCs w:val="false"/>
          <w:sz w:val="24"/>
          <w:szCs w:val="24"/>
        </w:rPr>
        <w:t xml:space="preserve">A Data Sharing Agreement (MOU) template is available to execute with the receiving party before any data moves.</w:t>
      </w:r>
    </w:p>
    <w:p>
      <w:pPr>
        <w:pStyle w:val="ListParagraph"/>
        <w:numPr>
          <w:ilvl w:val="0"/>
          <w:numId w:val="2"/>
        </w:numPr>
        <w:spacing w:after="60"/>
      </w:pPr>
      <w:r>
        <w:rPr>
          <w:rFonts w:ascii="Aptos" w:cs="Aptos" w:eastAsia="Aptos" w:hAnsi="Aptos"/>
          <w:b w:val="false"/>
          <w:bCs w:val="false"/>
          <w:i w:val="false"/>
          <w:iCs w:val="false"/>
          <w:sz w:val="24"/>
          <w:szCs w:val="24"/>
        </w:rPr>
        <w:t xml:space="preserve">The requester's identity and authority to request the release are verified.</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 the requester submits the proposed sharing, naming the data, its classification, the receiving party, and the purpose.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risk: weigh the disclosure risk factors before any release: the recipient and their authority to receive, the data classification, and any legal trigger (privacy, CJIS, or statutory limits). Record the assessment.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 or deny: the approving authority approves or denies the release on the risk assessment and the stated purpose. No sensitive data is shared without recorded approval.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Execute the agreement: before any data moves, execute a Data Sharing Agreement (MOU) with the receiving party setting permitted use, handling, retention, and security obligations.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Transmit securely: send the approved data by a method matched to its classification (encrypted transport or a secure portal) and confirm receipt.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record the approval, the executed agreement, and the transmission so the release is traceable, per the Data Access Monitoring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Every release of sensitive data was approved in writing before transmission, weighed against the recipient, the data classification, and any legal trigger, covered by an executed Data Sharing Agreement (MOU), transmitted by a method matched to its classification, and recorded so the release can be traced.</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Data Classification Policy; Data Sharing Agreement (MOU) Template; Data Access Monitoring Policy; Unauthorized Disclosure Response &amp; Notification Procedures; Data Inventory / Data Map; Document Handling Standard.</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approves each release with county or vendor IT: confirm the data's classification, weigh the recipient and any legal limit, sign off, execute the sharing agreement, and send the data encrypted. Keep a dated record of what was shared, with whom, and under which agreement.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coordinator screens the request and drafts the agreement while the director approves; shared county IT sends the data through an approved secure channel and logs the release.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Requests route through a defined workflow: the security role assesses recipient and classification risk, legal reviews the agreement, the approving authority signs, and the release is transmitted and logged through the Agency's records system.</w:t>
            </w:r>
          </w:p>
        </w:tc>
      </w:tr>
    </w:tbl>
    <w:p>
      <w:pPr>
        <w:spacing w:after="60"/>
      </w:pPr>
    </w:p>
    <w:p>
      <w:pPr>
        <w:pStyle w:val="Heading2"/>
        <w:spacing w:after="100" w:before="220"/>
      </w:pPr>
      <w:r>
        <w:rPr>
          <w:rFonts w:ascii="Aptos" w:cs="Aptos" w:eastAsia="Aptos" w:hAnsi="Aptos"/>
          <w:b/>
          <w:bCs/>
          <w:color w:val="1B3A5C"/>
          <w:sz w:val="26"/>
          <w:szCs w:val="26"/>
        </w:rPr>
        <w:t xml:space="preserve">CJIS Handling (conditional)</w:t>
      </w:r>
    </w:p>
    <w:p>
      <w:pPr>
        <w:spacing w:after="140"/>
      </w:pPr>
      <w:r>
        <w:rPr>
          <w:rFonts w:ascii="Aptos" w:cs="Aptos" w:eastAsia="Aptos" w:hAnsi="Aptos"/>
          <w:i/>
          <w:iCs/>
          <w:color w:val="595959"/>
          <w:sz w:val="24"/>
          <w:szCs w:val="24"/>
        </w:rPr>
        <w:t xml:space="preserve">«Delete this section if the Agency never shares CJIS-regulated data.»</w:t>
      </w:r>
    </w:p>
    <w:p>
      <w:pPr>
        <w:spacing w:after="120" w:before="0"/>
      </w:pPr>
      <w:r>
        <w:rPr>
          <w:rFonts w:ascii="Aptos" w:cs="Aptos" w:eastAsia="Aptos" w:hAnsi="Aptos"/>
          <w:b w:val="false"/>
          <w:bCs w:val="false"/>
          <w:i w:val="false"/>
          <w:iCs w:val="false"/>
          <w:sz w:val="24"/>
          <w:szCs w:val="24"/>
        </w:rPr>
        <w:t xml:space="preserve">CJIS Handling: where a proposed release includes CJIS-regulated data reached through IDACS, apply the FBI CJIS Security Policy information-exchange requirements in addition to the steps above, and raise the classification of that release to Internal / CJIS.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§4.2.2 (Information Classification)</w:t>
            </w:r>
          </w:p>
          <w:p>
            <w:pPr>
              <w:spacing w:after="40" w:before="0"/>
            </w:pPr>
            <w:r>
              <w:rPr>
                <w:rFonts w:ascii="Aptos" w:cs="Aptos" w:eastAsia="Aptos" w:hAnsi="Aptos"/>
                <w:bCs w:val="false"/>
                <w:iCs w:val="false"/>
                <w:sz w:val="24"/>
                <w:szCs w:val="24"/>
              </w:rPr>
              <w:t xml:space="preserve">NIST SP 800-53 Rev. 5: AC-3, AC-4, AC-21</w:t>
            </w:r>
          </w:p>
          <w:p>
            <w:pPr>
              <w:spacing w:after="40" w:before="0"/>
            </w:pPr>
            <w:r>
              <w:rPr>
                <w:rFonts w:ascii="Aptos" w:cs="Aptos" w:eastAsia="Aptos" w:hAnsi="Aptos"/>
                <w:bCs w:val="false"/>
                <w:iCs w:val="false"/>
                <w:sz w:val="24"/>
                <w:szCs w:val="24"/>
              </w:rPr>
              <w:t xml:space="preserve">Indiana statutes and administrative code: HEA 1169 (2021) and IC 24-4.9 apply only if a sharing results in a reportable disclosure; notification then follows the Unauthorized Disclosure Response &amp; Notification Procedures</w:t>
            </w:r>
          </w:p>
          <w:p>
            <w:pPr>
              <w:spacing w:after="40" w:before="0"/>
            </w:pPr>
            <w:r>
              <w:rPr>
                <w:rFonts w:ascii="Aptos" w:cs="Aptos" w:eastAsia="Aptos" w:hAnsi="Aptos"/>
                <w:bCs w:val="false"/>
                <w:iCs w:val="false"/>
                <w:sz w:val="24"/>
                <w:szCs w:val="24"/>
              </w:rPr>
              <w:t xml:space="preserve">CJIS Security Policy v5.9: §5.1 (Information Exchange Agreements) (if CJIS-regulated data is in the shared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This procedure governs authorized, approved data sharing, distinct from the Unauthorized Disclosure Response &amp; Notification Procedures, which handle a breach or spill. Classification floor is Internal; a release including CJIS-regulated data via IDACS raises to Internal / CJIS for that release, handled by the removable conditional CJIS section. Indiana breach statutes (HEA 1169, IC 24-4.9) are pointers only: they bind when a sharing produces a reportable disclosure, and the notification path lives in the Unauthorized Disclosure Response &amp; Notification Procedures. Primary control is NIST AC-21. Confirm the Agency's secure-transmission method, the approval authority, and the precise NENA clause.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Data Sharing &amp; Disclosure Approval Procedure - FORM</dc:title>
</cp:coreProperties>
</file>

<file path=docProps/custom.xml><?xml version="1.0" encoding="utf-8"?>
<Properties xmlns="http://schemas.openxmlformats.org/officeDocument/2006/custom-properties" xmlns:vt="http://schemas.openxmlformats.org/officeDocument/2006/docPropsVTypes"/>
</file>