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Cybersecurity Charter / Leadership Designation Letter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Adopted by Tri-River Regional 911 Center under the authority of the Tri-River Regional 911 Governance Board.</w:t>
            </w:r>
            <w:r>
              <w:rPr>
                <w:rFonts w:ascii="Aptos" w:cs="Aptos" w:eastAsia="Aptos" w:hAnsi="Aptos"/>
                <w:b w:val="false"/>
                <w:bCs w:val="false"/>
                <w:i w:val="false"/>
                <w:iCs w:val="false"/>
                <w:sz w:val="24"/>
                <w:szCs w:val="24"/>
              </w:rPr>
              <w:t xml:space="preserve"/>
            </w:r>
            <w:r>
              <w:rPr>
                <w:rFonts w:ascii="Aptos" w:cs="Aptos" w:eastAsia="Aptos" w:hAnsi="Aptos"/>
                <w:b/>
                <w:bCs/>
                <w:i w:val="false"/>
                <w:iCs w:val="false"/>
                <w:sz w:val="24"/>
                <w:szCs w:val="24"/>
              </w:rPr>
              <w:t xml:space="preserve"/>
            </w:r>
            <w:r>
              <w:rPr>
                <w:rFonts w:ascii="Aptos" w:cs="Aptos" w:eastAsia="Aptos" w:hAnsi="Aptos"/>
                <w:b w:val="false"/>
                <w:bCs w:val="false"/>
                <w:i w:val="false"/>
                <w:iCs w:val="false"/>
                <w:sz w:val="24"/>
                <w:szCs w:val="24"/>
              </w:rPr>
              <w:t xml:space="preserve"/>
            </w:r>
            <w:r>
              <w:rPr>
                <w:rFonts w:ascii="Aptos" w:cs="Aptos" w:eastAsia="Aptos" w:hAnsi="Aptos"/>
                <w:b/>
                <w:bCs/>
                <w:i w:val="false"/>
                <w:iCs w:val="false"/>
                <w:sz w:val="24"/>
                <w:szCs w:val="24"/>
              </w:rPr>
              <w:t xml:space="preserve"/>
            </w:r>
            <w:r>
              <w:rPr>
                <w:rFonts w:ascii="Aptos" w:cs="Aptos" w:eastAsia="Aptos" w:hAnsi="Aptos"/>
                <w:b w:val="false"/>
                <w:bCs w:val="false"/>
                <w:i w:val="false"/>
                <w:iCs w:val="false"/>
                <w:sz w:val="24"/>
                <w:szCs w:val="24"/>
              </w:rPr>
              <w:t xml:space="preserve"/>
            </w:r>
          </w:p>
          <w:p>
            <w:pPr>
              <w:spacing w:after="60"/>
            </w:pPr>
            <w:r>
              <w:rPr>
                <w:rFonts w:ascii="Aptos" w:cs="Aptos" w:eastAsia="Aptos" w:hAnsi="Aptos"/>
                <w:b/>
                <w:bCs/>
                <w:i w:val="false"/>
                <w:iCs w:val="false"/>
                <w:sz w:val="24"/>
                <w:szCs w:val="24"/>
              </w:rPr>
              <w:t xml:space="preserve">Version: 1.0    Effective Date: January 20, 2026    Next Review: January 20, 2027</w:t>
            </w:r>
            <w:r>
              <w:rPr>
                <w:rFonts w:ascii="Aptos" w:cs="Aptos" w:eastAsia="Aptos" w:hAnsi="Aptos"/>
                <w:b w:val="false"/>
                <w:bCs w:val="false"/>
                <w:i w:val="false"/>
                <w:iCs w:val="false"/>
                <w:sz w:val="24"/>
                <w:szCs w:val="24"/>
              </w:rPr>
              <w:t xml:space="preserve"/>
            </w:r>
            <w:r>
              <w:rPr>
                <w:rFonts w:ascii="Aptos" w:cs="Aptos" w:eastAsia="Aptos" w:hAnsi="Aptos"/>
                <w:b/>
                <w:bCs/>
                <w:i w:val="false"/>
                <w:iCs w:val="false"/>
                <w:sz w:val="24"/>
                <w:szCs w:val="24"/>
              </w:rPr>
              <w:t xml:space="preserve"/>
            </w:r>
            <w:r>
              <w:rPr>
                <w:rFonts w:ascii="Aptos" w:cs="Aptos" w:eastAsia="Aptos" w:hAnsi="Aptos"/>
                <w:b w:val="false"/>
                <w:bCs w:val="false"/>
                <w:i w:val="false"/>
                <w:iCs w:val="false"/>
                <w:sz w:val="24"/>
                <w:szCs w:val="24"/>
              </w:rPr>
              <w:t xml:space="preserve"/>
            </w:r>
            <w:r>
              <w:rPr>
                <w:rFonts w:ascii="Aptos" w:cs="Aptos" w:eastAsia="Aptos" w:hAnsi="Aptos"/>
                <w:b/>
                <w:bCs/>
                <w:i w:val="false"/>
                <w:iCs w:val="false"/>
                <w:sz w:val="24"/>
                <w:szCs w:val="24"/>
              </w:rPr>
              <w:t xml:space="preserve"/>
            </w:r>
            <w:r>
              <w:rPr>
                <w:rFonts w:ascii="Aptos" w:cs="Aptos" w:eastAsia="Aptos" w:hAnsi="Aptos"/>
                <w:b w:val="false"/>
                <w:bCs w:val="false"/>
                <w:i w:val="false"/>
                <w:iCs w:val="false"/>
                <w:sz w:val="24"/>
                <w:szCs w:val="24"/>
              </w:rPr>
              <w:t xml:space="preserve"/>
            </w:r>
          </w:p>
          <w:p>
            <w:pPr>
              <w:spacing w:after="60"/>
            </w:pPr>
            <w:r>
              <w:rPr>
                <w:rFonts w:ascii="Aptos" w:cs="Aptos" w:eastAsia="Aptos" w:hAnsi="Aptos"/>
                <w:b/>
                <w:bCs/>
                <w:i w:val="false"/>
                <w:iCs w:val="false"/>
                <w:sz w:val="24"/>
                <w:szCs w:val="24"/>
              </w:rPr>
              <w:t xml:space="preserve">Owner: Executive Director</w:t>
            </w:r>
            <w:r>
              <w:rPr>
                <w:rFonts w:ascii="Aptos" w:cs="Aptos" w:eastAsia="Aptos" w:hAnsi="Aptos"/>
                <w:b w:val="false"/>
                <w:bCs w:val="false"/>
                <w:i w:val="false"/>
                <w:iCs w:val="false"/>
                <w:sz w:val="24"/>
                <w:szCs w:val="24"/>
              </w:rPr>
              <w:t xml:space="preserve"/>
            </w:r>
          </w:p>
          <w:p>
            <w:pPr>
              <w:spacing w:after="20"/>
            </w:pPr>
            <w:r>
              <w:rPr>
                <w:rFonts w:ascii="Aptos" w:cs="Aptos" w:eastAsia="Aptos" w:hAnsi="Aptos"/>
                <w:b/>
                <w:bCs/>
                <w:i w:val="false"/>
                <w:iCs w:val="false"/>
                <w:sz w:val="24"/>
                <w:szCs w:val="24"/>
              </w:rPr>
              <w:t xml:space="preserve">Classification: Internal</w:t>
            </w:r>
            <w:r>
              <w:rPr>
                <w:rFonts w:ascii="Aptos" w:cs="Aptos" w:eastAsia="Aptos" w:hAnsi="Aptos"/>
                <w:b w:val="false"/>
                <w:bCs w:val="false"/>
                <w:i w:val="false"/>
                <w:iCs w:val="false"/>
                <w:sz w:val="24"/>
                <w:szCs w:val="24"/>
              </w:rPr>
              <w:t xml:space="preserve"/>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 xml:space="preserve">This charter establishes Tri-River Regional 911 Center's cybersecurity and privacy program and authorizes the resources and authority to run it. It names the program's executive sponsor, designates the cybersecurity and privacy lead, and confirms the Executive Director's authority to direct IT resources, whether county, contracted, or in-house, toward security work. Every other security document the Agency maintains operates under the program this charter establishes.</w:t>
      </w:r>
    </w:p>
    <w:p>
      <w:pPr>
        <w:pStyle w:val="Heading2"/>
        <w:spacing w:after="100" w:before="220"/>
      </w:pPr>
      <w:r>
        <w:rPr>
          <w:rFonts w:ascii="Aptos" w:cs="Aptos" w:eastAsia="Aptos" w:hAnsi="Aptos"/>
          <w:b/>
          <w:bCs/>
          <w:color w:val="1B3A5C"/>
          <w:sz w:val="26"/>
          <w:szCs w:val="26"/>
        </w:rPr>
        <w:t xml:space="preserve">Strategic Objectives</w:t>
      </w:r>
    </w:p>
    <w:p>
      <w:pPr>
        <w:spacing w:after="120" w:before="0"/>
      </w:pPr>
      <w:r>
        <w:rPr>
          <w:rFonts w:ascii="Aptos" w:cs="Aptos" w:eastAsia="Aptos" w:hAnsi="Aptos"/>
          <w:b w:val="false"/>
          <w:bCs w:val="false"/>
          <w:i w:val="false"/>
          <w:iCs w:val="false"/>
          <w:sz w:val="24"/>
          <w:szCs w:val="24"/>
        </w:rPr>
        <w:t xml:space="preserve">Protect 9-1-1 service. Keep call-handling and dispatch available, and protect the systems and data that support them against cyber and physical threats.</w:t>
      </w:r>
    </w:p>
    <w:p>
      <w:pPr>
        <w:spacing w:after="120" w:before="0"/>
      </w:pPr>
      <w:r>
        <w:rPr>
          <w:rFonts w:ascii="Aptos" w:cs="Aptos" w:eastAsia="Aptos" w:hAnsi="Aptos"/>
          <w:b w:val="false"/>
          <w:bCs w:val="false"/>
          <w:i w:val="false"/>
          <w:iCs w:val="false"/>
          <w:sz w:val="24"/>
          <w:szCs w:val="24"/>
        </w:rPr>
        <w:t xml:space="preserve">Meet legal and regulatory obligations. Satisfy the CJIS, IDACS, and Indiana cyber-incident and breach requirements that apply to the Agency.</w:t>
      </w:r>
    </w:p>
    <w:p>
      <w:pPr>
        <w:spacing w:after="120" w:before="0"/>
      </w:pPr>
      <w:r>
        <w:rPr>
          <w:rFonts w:ascii="Aptos" w:cs="Aptos" w:eastAsia="Aptos" w:hAnsi="Aptos"/>
          <w:b w:val="false"/>
          <w:bCs w:val="false"/>
          <w:i w:val="false"/>
          <w:iCs w:val="false"/>
          <w:sz w:val="24"/>
          <w:szCs w:val="24"/>
        </w:rPr>
        <w:t xml:space="preserve">Manage risk deliberately. Identify, score, and treat risk to mission-critical systems on a set cadence, within the Agency's stated risk appetite.</w:t>
      </w:r>
    </w:p>
    <w:p>
      <w:pPr>
        <w:spacing w:after="120" w:before="0"/>
      </w:pPr>
      <w:r>
        <w:rPr>
          <w:rFonts w:ascii="Aptos" w:cs="Aptos" w:eastAsia="Aptos" w:hAnsi="Aptos"/>
          <w:b w:val="false"/>
          <w:bCs w:val="false"/>
          <w:i w:val="false"/>
          <w:iCs w:val="false"/>
          <w:sz w:val="24"/>
          <w:szCs w:val="24"/>
        </w:rPr>
        <w:t xml:space="preserve">Build a security-aware workforce. Train personnel to recognize and report threats, and hold them accountable for protecting credentials and data.</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 xml:space="preserve">Applies to: all Agency personnel and leadership, and any county, contracted, or in-house IT staff and vendors who support the Agency's systems.</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the cybersecurity and privacy program as a whole, its governance, the authority to direct resources, and the designation of the cybersecurity and privacy lead. The program governs all systems and data used to receive, process, and dispatch 9-1-1 calls.</w:t>
      </w:r>
    </w:p>
    <w:p>
      <w:pPr>
        <w:pStyle w:val="ListParagraph"/>
        <w:numPr>
          <w:ilvl w:val="0"/>
          <w:numId w:val="2"/>
        </w:numPr>
        <w:spacing w:after="60"/>
      </w:pPr>
      <w:r>
        <w:rPr>
          <w:rFonts w:ascii="Aptos" w:cs="Aptos" w:eastAsia="Aptos" w:hAnsi="Aptos"/>
          <w:b w:val="false"/>
          <w:bCs w:val="false"/>
          <w:i w:val="false"/>
          <w:iCs w:val="false"/>
          <w:sz w:val="24"/>
          <w:szCs w:val="24"/>
        </w:rPr>
        <w:t xml:space="preserve">Excludes: the day-to-day technical controls and procedures, which are set in the documents issued under this charter. None.</w:t>
      </w:r>
    </w:p>
    <w:p>
      <w:pPr>
        <w:pStyle w:val="Heading2"/>
        <w:spacing w:after="100" w:before="220"/>
      </w:pPr>
      <w:r>
        <w:rPr>
          <w:rFonts w:ascii="Aptos" w:cs="Aptos" w:eastAsia="Aptos" w:hAnsi="Aptos"/>
          <w:b/>
          <w:bCs/>
          <w:color w:val="1B3A5C"/>
          <w:sz w:val="26"/>
          <w:szCs w:val="26"/>
        </w:rPr>
        <w:t xml:space="preserve">3. Definitions</w:t>
      </w:r>
    </w:p>
    <w:p>
      <w:pPr>
        <w:spacing w:after="120" w:before="0"/>
      </w:pPr>
      <w:r>
        <w:rPr>
          <w:rFonts w:ascii="Aptos" w:cs="Aptos" w:eastAsia="Aptos" w:hAnsi="Aptos"/>
          <w:b w:val="false"/>
          <w:bCs w:val="false"/>
          <w:i w:val="false"/>
          <w:iCs w:val="false"/>
          <w:sz w:val="24"/>
          <w:szCs w:val="24"/>
        </w:rPr>
        <w:t xml:space="preserve">Designated Cybersecurity and Privacy Lead: the individual the Executive Director appoints to coordinate the Agency's cybersecurity and privacy program. Named in Roles &amp; Responsibilities below.</w:t>
      </w:r>
    </w:p>
    <w:p>
      <w:pPr>
        <w:pStyle w:val="Heading2"/>
        <w:spacing w:after="100" w:before="220"/>
      </w:pPr>
      <w:r>
        <w:rPr>
          <w:rFonts w:ascii="Aptos" w:cs="Aptos" w:eastAsia="Aptos" w:hAnsi="Aptos"/>
          <w:b/>
          <w:bCs/>
          <w:color w:val="1B3A5C"/>
          <w:sz w:val="26"/>
          <w:szCs w:val="26"/>
        </w:rPr>
        <w:t xml:space="preserve">4. Policy Statement</w:t>
      </w:r>
    </w:p>
    <w:p>
      <w:pPr>
        <w:pStyle w:val="ListParagraph"/>
        <w:numPr>
          <w:ilvl w:val="0"/>
          <w:numId w:val="3"/>
        </w:numPr>
        <w:spacing w:after="60"/>
      </w:pPr>
      <w:r>
        <w:rPr>
          <w:rFonts w:ascii="Aptos" w:cs="Aptos" w:eastAsia="Aptos" w:hAnsi="Aptos"/>
          <w:b w:val="false"/>
          <w:bCs w:val="false"/>
          <w:i w:val="false"/>
          <w:iCs w:val="false"/>
          <w:sz w:val="24"/>
          <w:szCs w:val="24"/>
        </w:rPr>
        <w:t xml:space="preserve">The Agency establishes a cybersecurity and privacy program under the authority of the Tri-River Regional 911 Governance Board, and maintains it as an ongoing function, not a one-time project.</w:t>
      </w:r>
    </w:p>
    <w:p>
      <w:pPr>
        <w:pStyle w:val="ListParagraph"/>
        <w:numPr>
          <w:ilvl w:val="0"/>
          <w:numId w:val="3"/>
        </w:numPr>
        <w:spacing w:after="60"/>
      </w:pPr>
      <w:r>
        <w:rPr>
          <w:rFonts w:ascii="Aptos" w:cs="Aptos" w:eastAsia="Aptos" w:hAnsi="Aptos"/>
          <w:b w:val="false"/>
          <w:bCs w:val="false"/>
          <w:i w:val="false"/>
          <w:iCs w:val="false"/>
          <w:sz w:val="24"/>
          <w:szCs w:val="24"/>
        </w:rPr>
        <w:t xml:space="preserve">The Agency designates a Cybersecurity and Privacy Lead, named in Roles &amp; Responsibilities, who coordinates the program and serves as the Agency's primary cybersecurity point of contact.</w:t>
      </w:r>
    </w:p>
    <w:p>
      <w:pPr>
        <w:pStyle w:val="ListParagraph"/>
        <w:numPr>
          <w:ilvl w:val="0"/>
          <w:numId w:val="3"/>
        </w:numPr>
        <w:spacing w:after="60"/>
      </w:pPr>
      <w:r>
        <w:rPr>
          <w:rFonts w:ascii="Aptos" w:cs="Aptos" w:eastAsia="Aptos" w:hAnsi="Aptos"/>
          <w:b w:val="false"/>
          <w:bCs w:val="false"/>
          <w:i w:val="false"/>
          <w:iCs w:val="false"/>
          <w:sz w:val="24"/>
          <w:szCs w:val="24"/>
        </w:rPr>
        <w:t xml:space="preserve">The Executive Director holds the authority to direct IT resources, whether county, contracted, or in-house, toward the security work this program requires.</w:t>
      </w:r>
    </w:p>
    <w:p>
      <w:pPr>
        <w:pStyle w:val="ListParagraph"/>
        <w:numPr>
          <w:ilvl w:val="0"/>
          <w:numId w:val="3"/>
        </w:numPr>
        <w:spacing w:after="60"/>
      </w:pPr>
      <w:r>
        <w:rPr>
          <w:rFonts w:ascii="Aptos" w:cs="Aptos" w:eastAsia="Aptos" w:hAnsi="Aptos"/>
          <w:b w:val="false"/>
          <w:bCs w:val="false"/>
          <w:i w:val="false"/>
          <w:iCs w:val="false"/>
          <w:sz w:val="24"/>
          <w:szCs w:val="24"/>
        </w:rPr>
        <w:t xml:space="preserve">The Agency commits the resources recorded in Committed Resources and tracks them in the Cybersecurity Budget &amp; Resource Allocation Record.</w:t>
      </w:r>
    </w:p>
    <w:p>
      <w:pPr>
        <w:pStyle w:val="ListParagraph"/>
        <w:numPr>
          <w:ilvl w:val="0"/>
          <w:numId w:val="3"/>
        </w:numPr>
        <w:spacing w:after="60"/>
      </w:pPr>
      <w:r>
        <w:rPr>
          <w:rFonts w:ascii="Aptos" w:cs="Aptos" w:eastAsia="Aptos" w:hAnsi="Aptos"/>
          <w:b w:val="false"/>
          <w:bCs w:val="false"/>
          <w:i w:val="false"/>
          <w:iCs w:val="false"/>
          <w:sz w:val="24"/>
          <w:szCs w:val="24"/>
        </w:rPr>
        <w:t xml:space="preserve">Leadership reviews the program and the threats facing it on a set cadence, recorded in the Leadership Security Review Meeting Minutes.</w:t>
      </w:r>
    </w:p>
    <w:p>
      <w:pPr>
        <w:pStyle w:val="ListParagraph"/>
        <w:numPr>
          <w:ilvl w:val="0"/>
          <w:numId w:val="3"/>
        </w:numPr>
        <w:spacing w:after="60"/>
      </w:pPr>
      <w:r>
        <w:rPr>
          <w:rFonts w:ascii="Aptos" w:cs="Aptos" w:eastAsia="Aptos" w:hAnsi="Aptos"/>
          <w:b w:val="false"/>
          <w:bCs w:val="false"/>
          <w:i w:val="false"/>
          <w:iCs w:val="false"/>
          <w:sz w:val="24"/>
          <w:szCs w:val="24"/>
        </w:rPr>
        <w:t xml:space="preserve">The program operates within the risk appetite set in the Risk Management Methodology Standard.</w:t>
      </w:r>
    </w:p>
    <w:p>
      <w:pPr>
        <w:pStyle w:val="Heading2"/>
        <w:spacing w:after="100" w:before="220"/>
      </w:pPr>
      <w:r>
        <w:rPr>
          <w:rFonts w:ascii="Aptos" w:cs="Aptos" w:eastAsia="Aptos" w:hAnsi="Aptos"/>
          <w:b/>
          <w:bCs/>
          <w:color w:val="1B3A5C"/>
          <w:sz w:val="26"/>
          <w:szCs w:val="26"/>
        </w:rPr>
        <w:t xml:space="preserve">5.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Designated Cybersecurity &amp; Privacy Lead: Raymond Osei, Information Security Analyst (part-time), Tri-River Regional 911 Center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Coordinates the cybersecurity and privacy program, maintains the security document set, and is the Agency's primary cybersecurity point of contact. A specific person is named here by design; revise this charter when the appointee changes.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Executive Director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Sponsors and owns the program, authorizes resources, and directs IT toward security work. Approves this charter.</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Dedicated IT team (five staff) with a part-time information security analyst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Carries out the technical security work the program directs, under the IT Support Accountability Agreement.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Operations Supervisor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Reinforces the program on shift and ensures staff meet training and reporting expectations.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Follow the program's policies and procedures, protect credentials and data, and report suspected incidents.</w:t>
            </w:r>
          </w:p>
        </w:tc>
      </w:tr>
    </w:tbl>
    <w:p>
      <w:pPr>
        <w:pStyle w:val="Heading2"/>
        <w:spacing w:after="100" w:before="220"/>
      </w:pPr>
      <w:r>
        <w:rPr>
          <w:rFonts w:ascii="Aptos" w:cs="Aptos" w:eastAsia="Aptos" w:hAnsi="Aptos"/>
          <w:b/>
          <w:bCs/>
          <w:color w:val="1B3A5C"/>
          <w:sz w:val="26"/>
          <w:szCs w:val="26"/>
        </w:rPr>
        <w:t xml:space="preserve">Committed Resources</w:t>
      </w:r>
    </w:p>
    <w:p>
      <w:pPr>
        <w:spacing w:after="120" w:before="0"/>
      </w:pPr>
      <w:r>
        <w:rPr>
          <w:rFonts w:ascii="Aptos" w:cs="Aptos" w:eastAsia="Aptos" w:hAnsi="Aptos"/>
          <w:b w:val="false"/>
          <w:bCs w:val="false"/>
          <w:i w:val="false"/>
          <w:iCs w:val="false"/>
          <w:sz w:val="24"/>
          <w:szCs w:val="24"/>
        </w:rPr>
        <w:t xml:space="preserve">Leadership commits a dedicated cybersecurity budget line, the staffing or assigned time for the Designated Cybersecurity and Privacy Lead, and funding for the tools and training the program requires. The amounts, staffing, and funding sources are recorded and tracked each cycle in the Cybersecurity Budget &amp; Resource Allocation Record. The FY2026 budget commits a dedicated cybersecurity program allocation of about $235,000, including the part-time Information Security Analyst, managed detection and SIEM, endpoint and email security across both centers, NG911 security integration, penetration testing, and training for 38 staff; the detail is tracked in the Cybersecurity Budget &amp; Resource Allocation Record.</w:t>
      </w:r>
    </w:p>
    <w:p>
      <w:pPr>
        <w:pStyle w:val="Heading2"/>
        <w:spacing w:after="100" w:before="220"/>
      </w:pPr>
      <w:r>
        <w:rPr>
          <w:rFonts w:ascii="Aptos" w:cs="Aptos" w:eastAsia="Aptos" w:hAnsi="Aptos"/>
          <w:b/>
          <w:bCs/>
          <w:color w:val="1B3A5C"/>
          <w:sz w:val="26"/>
          <w:szCs w:val="26"/>
        </w:rPr>
        <w:t xml:space="preserve">6. Enforcement</w:t>
      </w:r>
    </w:p>
    <w:p>
      <w:pPr>
        <w:spacing w:after="120" w:before="0"/>
      </w:pPr>
      <w:r>
        <w:rPr>
          <w:rFonts w:ascii="Aptos" w:cs="Aptos" w:eastAsia="Aptos" w:hAnsi="Aptos"/>
          <w:b w:val="false"/>
          <w:bCs w:val="false"/>
          <w:i w:val="false"/>
          <w:iCs w:val="false"/>
          <w:sz w:val="24"/>
          <w:szCs w:val="24"/>
        </w:rPr>
        <w:t xml:space="preserve">The Executive Director oversees the program and this charter. Failure to carry out an assigned program responsibility is handled under the Agency's agency personnel policy. Authority granted by this charter does not lapse on personnel change; it transfers with the role.</w:t>
      </w:r>
    </w:p>
    <w:p>
      <w:pPr>
        <w:pStyle w:val="Heading2"/>
        <w:spacing w:after="100" w:before="220"/>
      </w:pPr>
      <w:r>
        <w:rPr>
          <w:rFonts w:ascii="Aptos" w:cs="Aptos" w:eastAsia="Aptos" w:hAnsi="Aptos"/>
          <w:b/>
          <w:bCs/>
          <w:color w:val="1B3A5C"/>
          <w:sz w:val="26"/>
          <w:szCs w:val="26"/>
        </w:rPr>
        <w:t xml:space="preserve">7. Exceptions</w:t>
      </w:r>
    </w:p>
    <w:p>
      <w:pPr>
        <w:spacing w:after="120" w:before="0"/>
      </w:pPr>
      <w:r>
        <w:rPr>
          <w:rFonts w:ascii="Aptos" w:cs="Aptos" w:eastAsia="Aptos" w:hAnsi="Aptos"/>
          <w:b w:val="false"/>
          <w:bCs w:val="false"/>
          <w:i w:val="false"/>
          <w:iCs w:val="false"/>
          <w:sz w:val="24"/>
          <w:szCs w:val="24"/>
        </w:rPr>
        <w:t xml:space="preserve">This charter sets the program's authority and grants no standing exceptions. Any change to the program's scope, authority, or designated lead is made by revising this charter with the written approval of the Tri-River Regional 911 Governance Board.</w:t>
      </w:r>
    </w:p>
    <w:p>
      <w:pPr>
        <w:pStyle w:val="Heading2"/>
        <w:spacing w:after="100" w:before="220"/>
      </w:pPr>
      <w:r>
        <w:rPr>
          <w:rFonts w:ascii="Aptos" w:cs="Aptos" w:eastAsia="Aptos" w:hAnsi="Aptos"/>
          <w:b/>
          <w:bCs/>
          <w:color w:val="1B3A5C"/>
          <w:sz w:val="26"/>
          <w:szCs w:val="26"/>
        </w:rPr>
        <w:t xml:space="preserve">8. Review Schedule</w:t>
      </w:r>
    </w:p>
    <w:p>
      <w:pPr>
        <w:spacing w:after="120" w:before="0"/>
      </w:pPr>
      <w:r>
        <w:rPr>
          <w:rFonts w:ascii="Aptos" w:cs="Aptos" w:eastAsia="Aptos" w:hAnsi="Aptos"/>
          <w:b w:val="false"/>
          <w:bCs w:val="false"/>
          <w:i w:val="false"/>
          <w:iCs w:val="false"/>
          <w:sz w:val="24"/>
          <w:szCs w:val="24"/>
        </w:rPr>
        <w:t xml:space="preserve">This charter is reviewed at least annually and whenever the program's sponsor, designated lead, or scope changes, by the Executive Director. Because it names a specific individual as the Designated Cybersecurity and Privacy Lead, it is revised when that person changes; a stale designation is a finding.</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charter sits at the top of a formal program. A dedicated or part-time security role holds the designation, leadership reviews the program on a set schedule, and the committed resources are managed as a standing budget line.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 xml:space="preserve">NENA-STA-040.2-2024: §4.1.1, §4.1.2</w:t>
            </w:r>
          </w:p>
          <w:p>
            <w:pPr>
              <w:spacing w:after="40" w:before="0"/>
            </w:pPr>
            <w:r>
              <w:rPr>
                <w:rFonts w:ascii="Aptos" w:cs="Aptos" w:eastAsia="Aptos" w:hAnsi="Aptos"/>
                <w:b w:val="false"/>
                <w:bCs w:val="false"/>
                <w:i w:val="false"/>
                <w:iCs w:val="false"/>
                <w:sz w:val="24"/>
                <w:szCs w:val="24"/>
              </w:rPr>
              <w:t xml:space="preserve">NIST SP 800-53 Rev. 5: PM-1, PM-2, PM-3, PM-11</w:t>
            </w:r>
          </w:p>
          <w:p>
            <w:pPr>
              <w:spacing w:after="40" w:before="0"/>
            </w:pPr>
            <w:r>
              <w:rPr>
                <w:rFonts w:ascii="Aptos" w:cs="Aptos" w:eastAsia="Aptos" w:hAnsi="Aptos"/>
                <w:b w:val="false"/>
                <w:bCs w:val="false"/>
                <w:i w:val="false"/>
                <w:iCs w:val="false"/>
                <w:sz w:val="24"/>
                <w:szCs w:val="24"/>
              </w:rPr>
              <w:t xml:space="preserve">Indiana statutes and administrative code: HEA 1169 (2021): designate and annually update the cyber incident reporting contact</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Authorizing official (Governance Board)</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per Board Resolution 2026-03</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 Governance Board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January 20,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Executive 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Dr. Lisa Park</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 Dr. Lisa Park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January 20, 2026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January 20,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Executive 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 and adoption</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90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Cybersecurity Charter / Leadership Designation Letter - EXAMPLE - L</dc:title>
</cp:coreProperties>
</file>

<file path=docProps/custom.xml><?xml version="1.0" encoding="utf-8"?>
<Properties xmlns="http://schemas.openxmlformats.org/officeDocument/2006/custom-properties" xmlns:vt="http://schemas.openxmlformats.org/officeDocument/2006/docPropsVTypes"/>
</file>