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Cybersecurity &amp;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February 17,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February 17,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is Hickory County 911's top-level governance document for cybersecurity and privacy. It sets the security and privacy controls, responsibilities, and legal commitments that protect the systems and data the Agency uses to receive, process, and dispatch 9-1-1 calls. Every other security and privacy document the Agency maintains operates under this policy and cites it as its parent authority.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including full-time and part-time dispatchers, supervisors, and administrative staff, and any contractor or vendor personnel with access to Agency systems or data.</w:t>
      </w:r>
    </w:p>
    <w:p>
      <w:pPr>
        <w:pStyle w:val="ListParagraph"/>
        <w:numPr>
          <w:ilvl w:val="0"/>
          <w:numId w:val="2"/>
        </w:numPr>
        <w:spacing w:after="60"/>
      </w:pPr>
      <w:r>
        <w:rPr>
          <w:rFonts w:ascii="Aptos" w:cs="Aptos" w:eastAsia="Aptos" w:hAnsi="Aptos"/>
          <w:b w:val="false"/>
          <w:bCs w:val="false"/>
          <w:i w:val="false"/>
          <w:iCs w:val="false"/>
          <w:sz w:val="24"/>
          <w:szCs w:val="24"/>
        </w:rPr>
        <w:t>Covers: all systems the center owns or operates to support 9-1-1 call handling and dispatch: the CAD instance, the recorded-line system, the single ESInet connection, GIS, and the workstations on the shared sheriff's office network. It covers CJIS-regulated data accessed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the Sheriff's Office records-management system, which Hickory County IT governs under a separate agreement.</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CJIS-regulated data: criminal justice information the Agency receives, stores, or transmits through IDACS, subject to the FBI CJIS Security Policy.</w:t>
      </w:r>
    </w:p>
    <w:p>
      <w:pPr>
        <w:pStyle w:val="Heading2"/>
        <w:spacing w:after="100" w:before="220"/>
      </w:pPr>
      <w:r>
        <w:rPr>
          <w:rFonts w:ascii="Aptos" w:cs="Aptos" w:eastAsia="Aptos" w:hAnsi="Aptos"/>
          <w:b/>
          <w:bCs/>
          <w:color w:val="1B3A5C"/>
          <w:sz w:val="26"/>
          <w:szCs w:val="26"/>
        </w:rPr>
        <w:t>4. Regulatory and Legal Authority</w:t>
      </w:r>
    </w:p>
    <w:p>
      <w:pPr>
        <w:spacing w:after="120" w:before="0"/>
      </w:pPr>
      <w:r>
        <w:rPr>
          <w:rFonts w:ascii="Aptos" w:cs="Aptos" w:eastAsia="Aptos" w:hAnsi="Aptos"/>
          <w:b w:val="false"/>
          <w:bCs w:val="false"/>
          <w:i w:val="false"/>
          <w:iCs w:val="false"/>
          <w:sz w:val="24"/>
          <w:szCs w:val="24"/>
        </w:rPr>
        <w:t>Hickory County 911 operates under the legal and regulatory regimes below. Each carries obligations that this policy applies to the Agency's controls and procedures. Precise section and control references appear in the Source Authority at the end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Authority</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Obligation at the policy level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FBI CJIS Security Policy (reached in Indiana through IDACS)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Protect criminal justice information accessed through IDACS under CJIS handling, access, and personnel-screening requirements.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240 IAC 5 (IDACS rules)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Meet Indiana State Police IDACS security and use rules for any system that connects to IDACS.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HEA 1169 (2021), Indiana cyber incident reporting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 cybersecurity incidents to the Indiana Office of Technology within two business days, and designate and annually update a primary reporting contact.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IC 24-4.9, Indiana data breach notification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Notify affected Indiana residents without unreasonable delay, and notify the Indiana Attorney General when more than 500 residents are affected.</w:t>
            </w:r>
          </w:p>
        </w:tc>
      </w:tr>
    </w:tbl>
    <w:p>
      <w:pPr>
        <w:pStyle w:val="Heading2"/>
        <w:spacing w:after="100" w:before="220"/>
      </w:pPr>
      <w:r>
        <w:rPr>
          <w:rFonts w:ascii="Aptos" w:cs="Aptos" w:eastAsia="Aptos" w:hAnsi="Aptos"/>
          <w:b/>
          <w:bCs/>
          <w:color w:val="1B3A5C"/>
          <w:sz w:val="26"/>
          <w:szCs w:val="26"/>
        </w:rPr>
        <w:t>5. Policy Statement</w:t>
      </w:r>
    </w:p>
    <w:p>
      <w:pPr>
        <w:pStyle w:val="ListParagraph"/>
        <w:numPr>
          <w:ilvl w:val="0"/>
          <w:numId w:val="3"/>
        </w:numPr>
        <w:spacing w:after="60"/>
      </w:pPr>
      <w:r>
        <w:rPr>
          <w:rFonts w:ascii="Aptos" w:cs="Aptos" w:eastAsia="Aptos" w:hAnsi="Aptos"/>
          <w:b w:val="false"/>
          <w:bCs w:val="false"/>
          <w:i w:val="false"/>
          <w:iCs w:val="false"/>
          <w:sz w:val="24"/>
          <w:szCs w:val="24"/>
        </w:rPr>
        <w:t>The Agency shall maintain cybersecurity and privacy controls aligned to the risks identified for its mission-critical systems, as recorded in the Risk Register.</w:t>
      </w:r>
    </w:p>
    <w:p>
      <w:pPr>
        <w:pStyle w:val="ListParagraph"/>
        <w:numPr>
          <w:ilvl w:val="0"/>
          <w:numId w:val="3"/>
        </w:numPr>
        <w:spacing w:after="60"/>
      </w:pPr>
      <w:r>
        <w:rPr>
          <w:rFonts w:ascii="Aptos" w:cs="Aptos" w:eastAsia="Aptos" w:hAnsi="Aptos"/>
          <w:b w:val="false"/>
          <w:bCs w:val="false"/>
          <w:i w:val="false"/>
          <w:iCs w:val="false"/>
          <w:sz w:val="24"/>
          <w:szCs w:val="24"/>
        </w:rPr>
        <w:t>The Agency shall maintain a current inventory of all hardware, software, and firmware assets in the Master Asset Inventory. The Director approves the inventory, and it is reviewed at least annually.</w:t>
      </w:r>
    </w:p>
    <w:p>
      <w:pPr>
        <w:pStyle w:val="ListParagraph"/>
        <w:numPr>
          <w:ilvl w:val="0"/>
          <w:numId w:val="3"/>
        </w:numPr>
        <w:spacing w:after="60"/>
      </w:pPr>
      <w:r>
        <w:rPr>
          <w:rFonts w:ascii="Aptos" w:cs="Aptos" w:eastAsia="Aptos" w:hAnsi="Aptos"/>
          <w:b w:val="false"/>
          <w:bCs w:val="false"/>
          <w:i w:val="false"/>
          <w:iCs w:val="false"/>
          <w:sz w:val="24"/>
          <w:szCs w:val="24"/>
        </w:rPr>
        <w:t>The Agency shall comply with the regimes listed in Regulatory and Legal Authority and carry their requirements into its controls and procedures.</w:t>
      </w:r>
    </w:p>
    <w:p>
      <w:pPr>
        <w:pStyle w:val="ListParagraph"/>
        <w:numPr>
          <w:ilvl w:val="0"/>
          <w:numId w:val="3"/>
        </w:numPr>
        <w:spacing w:after="60"/>
      </w:pPr>
      <w:r>
        <w:rPr>
          <w:rFonts w:ascii="Aptos" w:cs="Aptos" w:eastAsia="Aptos" w:hAnsi="Aptos"/>
          <w:b w:val="false"/>
          <w:bCs w:val="false"/>
          <w:i w:val="false"/>
          <w:iCs w:val="false"/>
          <w:sz w:val="24"/>
          <w:szCs w:val="24"/>
        </w:rPr>
        <w:t>The Agency shall protect personally identifiable information and CJIS-regulated data, limit access to personnel with a legitimate need, and handle both under the Data Classification Policy and the Document Handling Standard.</w:t>
      </w:r>
    </w:p>
    <w:p>
      <w:pPr>
        <w:pStyle w:val="ListParagraph"/>
        <w:numPr>
          <w:ilvl w:val="0"/>
          <w:numId w:val="3"/>
        </w:numPr>
        <w:spacing w:after="60"/>
      </w:pPr>
      <w:r>
        <w:rPr>
          <w:rFonts w:ascii="Aptos" w:cs="Aptos" w:eastAsia="Aptos" w:hAnsi="Aptos"/>
          <w:b w:val="false"/>
          <w:bCs w:val="false"/>
          <w:i w:val="false"/>
          <w:iCs w:val="false"/>
          <w:sz w:val="24"/>
          <w:szCs w:val="24"/>
        </w:rPr>
        <w:t>On a suspected or confirmed data breach or cybersecurity incident, the Agency shall follow the Incident Response Plan, including the reporting and notification timelines set by HEA 1169 and IC 24-4.9.</w:t>
      </w:r>
    </w:p>
    <w:p>
      <w:pPr>
        <w:pStyle w:val="ListParagraph"/>
        <w:numPr>
          <w:ilvl w:val="0"/>
          <w:numId w:val="3"/>
        </w:numPr>
        <w:spacing w:after="60"/>
      </w:pPr>
      <w:r>
        <w:rPr>
          <w:rFonts w:ascii="Aptos" w:cs="Aptos" w:eastAsia="Aptos" w:hAnsi="Aptos"/>
          <w:b w:val="false"/>
          <w:bCs w:val="false"/>
          <w:i w:val="false"/>
          <w:iCs w:val="false"/>
          <w:sz w:val="24"/>
          <w:szCs w:val="24"/>
        </w:rPr>
        <w:t>The Agency shall provide cybersecurity and privacy awareness training to personnel as required by the Cybersecurity Training Plan and applicable law.</w:t>
      </w:r>
    </w:p>
    <w:p>
      <w:pPr>
        <w:pStyle w:val="ListParagraph"/>
        <w:numPr>
          <w:ilvl w:val="0"/>
          <w:numId w:val="3"/>
        </w:numPr>
        <w:spacing w:after="60"/>
      </w:pPr>
      <w:r>
        <w:rPr>
          <w:rFonts w:ascii="Aptos" w:cs="Aptos" w:eastAsia="Aptos" w:hAnsi="Aptos"/>
          <w:b w:val="false"/>
          <w:bCs w:val="false"/>
          <w:i w:val="false"/>
          <w:iCs w:val="false"/>
          <w:sz w:val="24"/>
          <w:szCs w:val="24"/>
        </w:rPr>
        <w:t>Personnel are responsible for following this policy and the procedures issued under it, protecting their credentials and Agency data, and reporting suspected security or privacy concerns to the Director.</w:t>
      </w:r>
    </w:p>
    <w:p>
      <w:pPr>
        <w:pStyle w:val="Heading2"/>
        <w:spacing w:after="100" w:before="220"/>
      </w:pPr>
      <w:r>
        <w:rPr>
          <w:rFonts w:ascii="Aptos" w:cs="Aptos" w:eastAsia="Aptos" w:hAnsi="Aptos"/>
          <w:b/>
          <w:bCs/>
          <w:color w:val="1B3A5C"/>
          <w:sz w:val="26"/>
          <w:szCs w:val="26"/>
        </w:rPr>
        <w:t>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and approves the asset inventory and the Agency's controls. Ensures incidents are reported within the required timelines. Authorizes and records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(single administrator, shared with the courthouse network)</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Implements and maintains the technical controls. Keeps the asset inventory current. Supports incident response and recovery.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Lead Dispatcher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Applies this policy on shift, ensures staff complete required training, and reports security and privacy concerns.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Follow this policy and the procedures issued under it, protect credentials and data, and report suspected incidents promptly.</w:t>
            </w:r>
          </w:p>
        </w:tc>
      </w:tr>
    </w:tbl>
    <w:p>
      <w:pPr>
        <w:pStyle w:val="Heading2"/>
        <w:spacing w:after="100" w:before="220"/>
      </w:pPr>
      <w:r>
        <w:rPr>
          <w:rFonts w:ascii="Aptos" w:cs="Aptos" w:eastAsia="Aptos" w:hAnsi="Aptos"/>
          <w:b/>
          <w:bCs/>
          <w:color w:val="1B3A5C"/>
          <w:sz w:val="26"/>
          <w:szCs w:val="26"/>
        </w:rPr>
        <w:t>7. Enforcement</w:t>
      </w:r>
    </w:p>
    <w:p>
      <w:pPr>
        <w:spacing w:after="120" w:before="0"/>
      </w:pPr>
      <w:r>
        <w:rPr>
          <w:rFonts w:ascii="Aptos" w:cs="Aptos" w:eastAsia="Aptos" w:hAnsi="Aptos"/>
          <w:b w:val="false"/>
          <w:bCs w:val="false"/>
          <w:i w:val="false"/>
          <w:iCs w:val="false"/>
          <w:sz w:val="24"/>
          <w:szCs w:val="24"/>
        </w:rPr>
        <w:t>The Director monitors compliance with this policy. Violations are handled under the Agency's Hickory County's personnel and corrective-action procedures. Repeated or willful violations may result in loss of system access and disciplinary action. Where a violation involves CJIS-regulated data, the Agency also follows the reporting requirements of the CJIS Security Policy and IDACS.</w:t>
      </w:r>
    </w:p>
    <w:p>
      <w:pPr>
        <w:pStyle w:val="Heading2"/>
        <w:spacing w:after="100" w:before="220"/>
      </w:pPr>
      <w:r>
        <w:rPr>
          <w:rFonts w:ascii="Aptos" w:cs="Aptos" w:eastAsia="Aptos" w:hAnsi="Aptos"/>
          <w:b/>
          <w:bCs/>
          <w:color w:val="1B3A5C"/>
          <w:sz w:val="26"/>
          <w:szCs w:val="26"/>
        </w:rPr>
        <w:t>8. Exceptions</w:t>
      </w:r>
    </w:p>
    <w:p>
      <w:pPr>
        <w:spacing w:after="120" w:before="0"/>
      </w:pPr>
      <w:r>
        <w:rPr>
          <w:rFonts w:ascii="Aptos" w:cs="Aptos" w:eastAsia="Aptos" w:hAnsi="Aptos"/>
          <w:b w:val="false"/>
          <w:bCs w:val="false"/>
          <w:i w:val="false"/>
          <w:iCs w:val="false"/>
          <w:sz w:val="24"/>
          <w:szCs w:val="24"/>
        </w:rPr>
        <w:t>Exceptions to this policy require written approval from the Director. A request must state the control affected, the reason, any compensating measures, and an end date. Approved exceptions are recorded in the Risk Register and reviewed at least annually or when the underlying condition changes.</w:t>
      </w:r>
    </w:p>
    <w:p>
      <w:pPr>
        <w:pStyle w:val="Heading2"/>
        <w:spacing w:after="100" w:before="220"/>
      </w:pPr>
      <w:r>
        <w:rPr>
          <w:rFonts w:ascii="Aptos" w:cs="Aptos" w:eastAsia="Aptos" w:hAnsi="Aptos"/>
          <w:b/>
          <w:bCs/>
          <w:color w:val="1B3A5C"/>
          <w:sz w:val="26"/>
          <w:szCs w:val="26"/>
        </w:rPr>
        <w:t>9. Review Schedule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systems, threats, or legal obligations, by the Director. Each review and approval is recorded in the Policy Review &amp; Approval Log.</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this policy as written and fill the brackets. The director owns it and approves the asset inventory directly. County or vendor IT carries out the technical controls under the IT Support Accountability Agreement. An annual review is enough; revisit after any incident or major system change.</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CJIS Handling: This policy governs systems that contain CJIS-regulated data, reached in Indiana through IDACS. Apply the FBI CJIS Security Policy v5.9 and 240 IAC 5 in addition to the controls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§4.1, §4.3, §5.4</w:t>
            </w:r>
          </w:p>
          <w:p>
            <w:pPr>
              <w:spacing w:after="40" w:before="0"/>
            </w:pPr>
            <w:r>
              <w:rPr>
                <w:rFonts w:ascii="Aptos" w:cs="Aptos" w:eastAsia="Aptos" w:hAnsi="Aptos"/>
                <w:b w:val="false"/>
                <w:bCs w:val="false"/>
                <w:i w:val="false"/>
                <w:iCs w:val="false"/>
                <w:sz w:val="24"/>
                <w:szCs w:val="24"/>
              </w:rPr>
              <w:t>NIST SP 800-53 Rev. 5: CM-8, PL-1, PM-1, PM-5, PM-9, PT-1, RA-1, RA-3</w:t>
            </w:r>
          </w:p>
          <w:p>
            <w:pPr>
              <w:spacing w:after="40" w:before="0"/>
            </w:pPr>
            <w:r>
              <w:rPr>
                <w:rFonts w:ascii="Aptos" w:cs="Aptos" w:eastAsia="Aptos" w:hAnsi="Aptos"/>
                <w:b w:val="false"/>
                <w:bCs w:val="false"/>
                <w:i w:val="false"/>
                <w:iCs w:val="false"/>
                <w:sz w:val="24"/>
                <w:szCs w:val="24"/>
              </w:rPr>
              <w:t>Indiana statutes and administrative code:</w:t>
            </w:r>
          </w:p>
          <w:p>
            <w:pPr>
              <w:spacing w:after="4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24-4.9: Data Breach Notification</w:t>
            </w:r>
          </w:p>
          <w:p>
            <w:pPr>
              <w:spacing w:after="40" w:before="0"/>
            </w:pPr>
            <w:r>
              <w:rPr>
                <w:rFonts w:ascii="Aptos" w:cs="Aptos" w:eastAsia="Aptos" w:hAnsi="Aptos"/>
                <w:b w:val="false"/>
                <w:bCs w:val="false"/>
                <w:i w:val="false"/>
                <w:iCs w:val="false"/>
                <w:sz w:val="24"/>
                <w:szCs w:val="24"/>
              </w:rPr>
              <w:t xml:space="preserve">    240 IAC 5: IDACS Security</w:t>
            </w:r>
          </w:p>
          <w:p>
            <w:pPr>
              <w:spacing w:after="0" w:before="0"/>
            </w:pPr>
            <w:r>
              <w:rPr>
                <w:rFonts w:ascii="Aptos" w:cs="Aptos" w:eastAsia="Aptos" w:hAnsi="Aptos"/>
                <w:b w:val="false"/>
                <w:bCs w:val="false"/>
                <w:i w:val="false"/>
                <w:iCs w:val="false"/>
                <w:sz w:val="24"/>
                <w:szCs w:val="24"/>
              </w:rPr>
              <w:t>CJIS Security Policy v5.9: §5.1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February 17,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February 17,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February 17,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&amp; Privacy Policy - EXAMPLE - S</dc:title>
</cp:coreProperties>
</file>

<file path=docProps/custom.xml><?xml version="1.0" encoding="utf-8"?>
<Properties xmlns="http://schemas.openxmlformats.org/officeDocument/2006/custom-properties" xmlns:vt="http://schemas.openxmlformats.org/officeDocument/2006/docPropsVTypes"/>
</file>