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IT Support Accountability Agreement (SLA / MOU)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Parties</w:t>
            </w:r>
          </w:p>
          <w:p>
            <w:pPr>
              <w:spacing w:after="60"/>
            </w:pPr>
            <w:r>
              <w:rPr>
                <w:rFonts w:ascii="Aptos" w:cs="Aptos" w:eastAsia="Aptos" w:hAnsi="Aptos"/>
                <w:b/>
                <w:bCs/>
                <w:i w:val="false"/>
                <w:iCs w:val="false"/>
                <w:sz w:val="24"/>
                <w:szCs w:val="24"/>
              </w:rPr>
              <w:t xml:space="preserve">Party A: </w:t>
            </w:r>
            <w:r>
              <w:rPr>
                <w:rFonts w:ascii="Aptos" w:cs="Aptos" w:eastAsia="Aptos" w:hAnsi="Aptos"/>
                <w:b w:val="false"/>
                <w:bCs w:val="false"/>
                <w:i w:val="false"/>
                <w:iCs w:val="false"/>
                <w:sz w:val="24"/>
                <w:szCs w:val="24"/>
              </w:rPr>
              <w:t>Hickory County 911, Director</w:t>
            </w:r>
          </w:p>
          <w:p>
            <w:pPr>
              <w:spacing w:after="60"/>
            </w:pPr>
            <w:r>
              <w:rPr>
                <w:rFonts w:ascii="Aptos" w:cs="Aptos" w:eastAsia="Aptos" w:hAnsi="Aptos"/>
                <w:b/>
                <w:bCs/>
                <w:i w:val="false"/>
                <w:iCs w:val="false"/>
                <w:sz w:val="24"/>
                <w:szCs w:val="24"/>
              </w:rPr>
              <w:t xml:space="preserve">Party B: </w:t>
            </w:r>
            <w:r>
              <w:rPr>
                <w:rFonts w:ascii="Aptos" w:cs="Aptos" w:eastAsia="Aptos" w:hAnsi="Aptos"/>
                <w:b w:val="false"/>
                <w:bCs w:val="false"/>
                <w:i w:val="false"/>
                <w:iCs w:val="false"/>
                <w:sz w:val="24"/>
                <w:szCs w:val="24"/>
              </w:rPr>
              <w:t>Hickory County IT Department, IT Administrator</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March 2,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March 2, 2027</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agreement sets out the cybersecurity responsibilities, service levels, and notification duties between the Agency and its IT provider. It states what the provider is accountable for, how fast it must respond and restore service, and how it must report a suspected breach. Without it, the Agency's governance has no enforcement mechanism; with it, each duty has an owner and a measurable expectation.</w:t>
      </w:r>
    </w:p>
    <w:p>
      <w:pPr>
        <w:pStyle w:val="Heading2"/>
        <w:spacing w:after="100" w:before="220"/>
      </w:pPr>
      <w:r>
        <w:rPr>
          <w:rFonts w:ascii="Aptos" w:cs="Aptos" w:eastAsia="Aptos" w:hAnsi="Aptos"/>
          <w:b/>
          <w:bCs/>
          <w:color w:val="1B3A5C"/>
          <w:sz w:val="26"/>
          <w:szCs w:val="26"/>
        </w:rPr>
        <w:t>2. Definitions</w:t>
      </w:r>
    </w:p>
    <w:p>
      <w:pPr>
        <w:spacing w:after="120" w:before="0"/>
      </w:pPr>
      <w:r>
        <w:rPr>
          <w:rFonts w:ascii="Aptos" w:cs="Aptos" w:eastAsia="Aptos" w:hAnsi="Aptos"/>
          <w:b w:val="false"/>
          <w:bCs w:val="false"/>
          <w:i w:val="false"/>
          <w:iCs w:val="false"/>
          <w:sz w:val="24"/>
          <w:szCs w:val="24"/>
        </w:rPr>
        <w:t>Response time: the elapsed time from the provider being notified of an issue to the provider beginning work on it.</w:t>
      </w:r>
    </w:p>
    <w:p>
      <w:pPr>
        <w:spacing w:after="120" w:before="0"/>
      </w:pPr>
      <w:r>
        <w:rPr>
          <w:rFonts w:ascii="Aptos" w:cs="Aptos" w:eastAsia="Aptos" w:hAnsi="Aptos"/>
          <w:b w:val="false"/>
          <w:bCs w:val="false"/>
          <w:i w:val="false"/>
          <w:iCs w:val="false"/>
          <w:sz w:val="24"/>
          <w:szCs w:val="24"/>
        </w:rPr>
        <w:t>Restoration: returning an affected system to normal operation.</w:t>
      </w:r>
    </w:p>
    <w:p>
      <w:pPr>
        <w:spacing w:after="120" w:before="0"/>
      </w:pPr>
      <w:r>
        <w:rPr>
          <w:rFonts w:ascii="Aptos" w:cs="Aptos" w:eastAsia="Aptos" w:hAnsi="Aptos"/>
          <w:b w:val="false"/>
          <w:bCs w:val="false"/>
          <w:i w:val="false"/>
          <w:iCs w:val="false"/>
          <w:sz w:val="24"/>
          <w:szCs w:val="24"/>
        </w:rPr>
        <w:t>Critical system: any system the Asset Criticality Ranking Matrix marks Critical, including 9-1-1 call handling and dispatch.</w:t>
      </w:r>
    </w:p>
    <w:p>
      <w:pPr>
        <w:spacing w:after="120" w:before="0"/>
      </w:pPr>
      <w:r>
        <w:rPr>
          <w:rFonts w:ascii="Aptos" w:cs="Aptos" w:eastAsia="Aptos" w:hAnsi="Aptos"/>
          <w:b w:val="false"/>
          <w:bCs w:val="false"/>
          <w:i w:val="false"/>
          <w:iCs w:val="false"/>
          <w:sz w:val="24"/>
          <w:szCs w:val="24"/>
        </w:rPr>
        <w:t>Breach: confirmed or suspected unauthorized access to, or loss of, Agency or CJIS-regulated data.</w:t>
      </w:r>
    </w:p>
    <w:p>
      <w:pPr>
        <w:pStyle w:val="Heading2"/>
        <w:spacing w:after="100" w:before="220"/>
      </w:pPr>
      <w:r>
        <w:rPr>
          <w:rFonts w:ascii="Aptos" w:cs="Aptos" w:eastAsia="Aptos" w:hAnsi="Aptos"/>
          <w:b/>
          <w:bCs/>
          <w:color w:val="1B3A5C"/>
          <w:sz w:val="26"/>
          <w:szCs w:val="26"/>
        </w:rPr>
        <w:t>3. Terms and Requirements</w:t>
      </w:r>
    </w:p>
    <w:p>
      <w:pPr>
        <w:pStyle w:val="ListParagraph"/>
        <w:numPr>
          <w:ilvl w:val="0"/>
          <w:numId w:val="2"/>
        </w:numPr>
        <w:spacing w:after="60"/>
      </w:pPr>
      <w:r>
        <w:rPr>
          <w:rFonts w:ascii="Aptos" w:cs="Aptos" w:eastAsia="Aptos" w:hAnsi="Aptos"/>
          <w:b w:val="false"/>
          <w:bCs w:val="false"/>
          <w:i w:val="false"/>
          <w:iCs w:val="false"/>
          <w:sz w:val="24"/>
          <w:szCs w:val="24"/>
        </w:rPr>
        <w:t>The provider shall maintain the security controls assigned to it for the Agency's systems, including access control, logging, endpoint protection, and backups, consistent with Agency policy.</w:t>
      </w:r>
    </w:p>
    <w:p>
      <w:pPr>
        <w:pStyle w:val="ListParagraph"/>
        <w:numPr>
          <w:ilvl w:val="0"/>
          <w:numId w:val="2"/>
        </w:numPr>
        <w:spacing w:after="60"/>
      </w:pPr>
      <w:r>
        <w:rPr>
          <w:rFonts w:ascii="Aptos" w:cs="Aptos" w:eastAsia="Aptos" w:hAnsi="Aptos"/>
          <w:b w:val="false"/>
          <w:bCs w:val="false"/>
          <w:i w:val="false"/>
          <w:iCs w:val="false"/>
          <w:sz w:val="24"/>
          <w:szCs w:val="24"/>
        </w:rPr>
        <w:t>The provider shall apply security patches to Agency systems on the schedule in the Patch Management Schedule, and apply emergency patches for actively exploited vulnerabilities within 72 hours.</w:t>
      </w:r>
    </w:p>
    <w:p>
      <w:pPr>
        <w:pStyle w:val="ListParagraph"/>
        <w:numPr>
          <w:ilvl w:val="0"/>
          <w:numId w:val="2"/>
        </w:numPr>
        <w:spacing w:after="60"/>
      </w:pPr>
      <w:r>
        <w:rPr>
          <w:rFonts w:ascii="Aptos" w:cs="Aptos" w:eastAsia="Aptos" w:hAnsi="Aptos"/>
          <w:b w:val="false"/>
          <w:bCs w:val="false"/>
          <w:i w:val="false"/>
          <w:iCs w:val="false"/>
          <w:sz w:val="24"/>
          <w:szCs w:val="24"/>
        </w:rPr>
        <w:t>The provider shall monitor Agency systems for security events and notify the Agency of suspected incidents without delay.</w:t>
      </w:r>
    </w:p>
    <w:p>
      <w:pPr>
        <w:pStyle w:val="ListParagraph"/>
        <w:numPr>
          <w:ilvl w:val="0"/>
          <w:numId w:val="2"/>
        </w:numPr>
        <w:spacing w:after="60"/>
      </w:pPr>
      <w:r>
        <w:rPr>
          <w:rFonts w:ascii="Aptos" w:cs="Aptos" w:eastAsia="Aptos" w:hAnsi="Aptos"/>
          <w:b w:val="false"/>
          <w:bCs w:val="false"/>
          <w:i w:val="false"/>
          <w:iCs w:val="false"/>
          <w:sz w:val="24"/>
          <w:szCs w:val="24"/>
        </w:rPr>
        <w:t>The provider shall meet the response and restoration targets in the Service Levels table below.</w:t>
      </w:r>
    </w:p>
    <w:p>
      <w:pPr>
        <w:pStyle w:val="ListParagraph"/>
        <w:numPr>
          <w:ilvl w:val="0"/>
          <w:numId w:val="2"/>
        </w:numPr>
        <w:spacing w:after="60"/>
      </w:pPr>
      <w:r>
        <w:rPr>
          <w:rFonts w:ascii="Aptos" w:cs="Aptos" w:eastAsia="Aptos" w:hAnsi="Aptos"/>
          <w:b w:val="false"/>
          <w:bCs w:val="false"/>
          <w:i w:val="false"/>
          <w:iCs w:val="false"/>
          <w:sz w:val="24"/>
          <w:szCs w:val="24"/>
        </w:rPr>
        <w:t>The provider shall notify the Agency of a suspected or confirmed breach within 1 hour, and support the Agency's reporting to the Indiana Office of Technology within the two-business-day window set by HEA 1169.</w:t>
      </w:r>
    </w:p>
    <w:p>
      <w:pPr>
        <w:pStyle w:val="ListParagraph"/>
        <w:numPr>
          <w:ilvl w:val="0"/>
          <w:numId w:val="2"/>
        </w:numPr>
        <w:spacing w:after="60"/>
      </w:pPr>
      <w:r>
        <w:rPr>
          <w:rFonts w:ascii="Aptos" w:cs="Aptos" w:eastAsia="Aptos" w:hAnsi="Aptos"/>
          <w:b w:val="false"/>
          <w:bCs w:val="false"/>
          <w:i w:val="false"/>
          <w:iCs w:val="false"/>
          <w:sz w:val="24"/>
          <w:szCs w:val="24"/>
        </w:rPr>
        <w:t>The provider shall give the Agency advance notice of changes to Agency systems and keep asset and configuration records accurate.</w:t>
      </w:r>
    </w:p>
    <w:p>
      <w:pPr>
        <w:pStyle w:val="ListParagraph"/>
        <w:numPr>
          <w:ilvl w:val="0"/>
          <w:numId w:val="2"/>
        </w:numPr>
        <w:spacing w:after="60"/>
      </w:pPr>
      <w:r>
        <w:rPr>
          <w:rFonts w:ascii="Aptos" w:cs="Aptos" w:eastAsia="Aptos" w:hAnsi="Aptos"/>
          <w:b w:val="false"/>
          <w:bCs w:val="false"/>
          <w:i w:val="false"/>
          <w:iCs w:val="false"/>
          <w:sz w:val="24"/>
          <w:szCs w:val="24"/>
        </w:rPr>
        <w:t>The Agency shall give the provider the access and information it needs to meet these obligations, and shall name the points of contact below.</w:t>
      </w:r>
    </w:p>
    <w:p>
      <w:pPr>
        <w:pStyle w:val="Heading2"/>
        <w:spacing w:after="100" w:before="220"/>
      </w:pPr>
      <w:r>
        <w:rPr>
          <w:rFonts w:ascii="Aptos" w:cs="Aptos" w:eastAsia="Aptos" w:hAnsi="Aptos"/>
          <w:b/>
          <w:bCs/>
          <w:color w:val="1B3A5C"/>
          <w:sz w:val="26"/>
          <w:szCs w:val="26"/>
        </w:rPr>
        <w:t>4.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100"/>
        <w:gridCol w:w="2860"/>
      </w:tblGrid>
      <w:tr>
        <w:trPr>
          <w:cantSplit/>
          <w:tblHeader/>
        </w:trPr>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Service area</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Target</w:t>
            </w:r>
          </w:p>
        </w:tc>
        <w:tc>
          <w:tcPr>
            <w:tcW w:type="dxa" w:w="2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Measurement</w:t>
            </w:r>
          </w:p>
        </w:tc>
        <w:tc>
          <w:tcPr>
            <w:tcW w:type="dxa" w:w="2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Remedy on miss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Acknowledge a critical incident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30 minutes, 24/7</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 on-call log</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County IT Administrator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Restore a critical system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4 hours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Incident record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County Administrator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Apply emergency security 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72 hours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Patch log</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Director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Notify Agency of suspected breach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 hour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 notice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Escalation to Director</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Routine support response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 business day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Ticket system</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Noted at monthly review</w:t>
            </w:r>
          </w:p>
        </w:tc>
      </w:tr>
    </w:tbl>
    <w:p>
      <w:pPr>
        <w:pStyle w:val="Heading2"/>
        <w:spacing w:after="100" w:before="220"/>
      </w:pPr>
      <w:r>
        <w:rPr>
          <w:rFonts w:ascii="Aptos" w:cs="Aptos" w:eastAsia="Aptos" w:hAnsi="Aptos"/>
          <w:b/>
          <w:bCs/>
          <w:color w:val="1B3A5C"/>
          <w:sz w:val="26"/>
          <w:szCs w:val="26"/>
        </w:rPr>
        <w:t>5. Points of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Role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Operational contact (by role)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Agency escalation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(Tracy Holloway)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 escalation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Administrator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After-hours / 24x7 contact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on-call line</w:t>
            </w:r>
          </w:p>
        </w:tc>
      </w:tr>
    </w:tbl>
    <w:p>
      <w:pPr>
        <w:pStyle w:val="Heading2"/>
        <w:spacing w:after="100" w:before="220"/>
      </w:pPr>
      <w:r>
        <w:rPr>
          <w:rFonts w:ascii="Aptos" w:cs="Aptos" w:eastAsia="Aptos" w:hAnsi="Aptos"/>
          <w:b/>
          <w:bCs/>
          <w:color w:val="1B3A5C"/>
          <w:sz w:val="26"/>
          <w:szCs w:val="26"/>
        </w:rPr>
        <w:t>6.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Hickory County 911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Hickory County IT Department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IT Administrator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bl>
    <w:p>
      <w:pPr>
        <w:pStyle w:val="Heading2"/>
        <w:spacing w:after="100" w:before="220"/>
      </w:pPr>
      <w:r>
        <w:rPr>
          <w:rFonts w:ascii="Aptos" w:cs="Aptos" w:eastAsia="Aptos" w:hAnsi="Aptos"/>
          <w:b/>
          <w:bCs/>
          <w:color w:val="1B3A5C"/>
          <w:sz w:val="26"/>
          <w:szCs w:val="26"/>
        </w:rPr>
        <w:t>7. Retention</w:t>
      </w:r>
    </w:p>
    <w:p>
      <w:pPr>
        <w:spacing w:after="120" w:before="0"/>
      </w:pPr>
      <w:r>
        <w:rPr>
          <w:rFonts w:ascii="Aptos" w:cs="Aptos" w:eastAsia="Aptos" w:hAnsi="Aptos"/>
          <w:b w:val="false"/>
          <w:bCs w:val="false"/>
          <w:i w:val="false"/>
          <w:iCs w:val="false"/>
          <w:sz w:val="24"/>
          <w:szCs w:val="24"/>
        </w:rPr>
        <w:t>Retention: the signed original is kept by the Director for the life of the agreement plus 6 years, stored the Director's office files. Align with the Document Handling Standard.</w:t>
      </w:r>
    </w:p>
    <w:p>
      <w:pPr>
        <w:spacing w:after="60"/>
      </w:pP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The single most important artifact for a small PSAP: it pins down what county or vendor IT actually owes you. Fill the Service Levels with realistic numbers and name one escalation contact on each side. Review annually.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§5.5, §5.6, §10</w:t>
            </w:r>
          </w:p>
          <w:p>
            <w:pPr>
              <w:spacing w:after="40" w:before="0"/>
            </w:pPr>
            <w:r>
              <w:rPr>
                <w:rFonts w:ascii="Aptos" w:cs="Aptos" w:eastAsia="Aptos" w:hAnsi="Aptos"/>
                <w:b w:val="false"/>
                <w:bCs w:val="false"/>
                <w:i w:val="false"/>
                <w:iCs w:val="false"/>
                <w:sz w:val="24"/>
                <w:szCs w:val="24"/>
              </w:rPr>
              <w:t>NIST SP 800-53 Rev. 5: IR-6, MA-5, PS-7, SA-4, SA-9</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36-8-16.7: Statewide 911 Services (allowable uses, IDACS connectivity)</w:t>
            </w:r>
          </w:p>
          <w:p>
            <w:pPr>
              <w:spacing w:after="40" w:before="0"/>
            </w:pPr>
            <w:r>
              <w:rPr>
                <w:rFonts w:ascii="Aptos" w:cs="Aptos" w:eastAsia="Aptos" w:hAnsi="Aptos"/>
                <w:b w:val="false"/>
                <w:bCs w:val="false"/>
                <w:i w:val="false"/>
                <w:iCs w:val="false"/>
                <w:sz w:val="24"/>
                <w:szCs w:val="24"/>
              </w:rPr>
              <w:t>CJIS Security Policy v5.9: §5.1 (Information Exchange Agreements; where the provider handles CJIS-regulated data via IDACS)</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IT Support Accountability Agreement (SLA / MOU) - EXAMPLE - S</dc:title>
</cp:coreProperties>
</file>

<file path=docProps/custom.xml><?xml version="1.0" encoding="utf-8"?>
<Properties xmlns="http://schemas.openxmlformats.org/officeDocument/2006/custom-properties" xmlns:vt="http://schemas.openxmlformats.org/officeDocument/2006/docPropsVTypes"/>
</file>