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Account Provisioning &amp; Deprovisioning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Adopted by Tri-River Regional 911 Center under the authority of the Director.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2026-05-18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2027-05-18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IT Team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Confidential / CJIS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Completion header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Completed by (role):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IT Team  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Date: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2026-05-18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Individual (name / role):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Devon Carter, dispatcher      </w:t>
            </w: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Action type: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onboarding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sz w:val="24"/>
                <w:szCs w:val="24"/>
              </w:rPr>
              <w:t xml:space="preserve">Systems in scope: </w:t>
            </w:r>
            <w:r>
              <w:rPr>
                <w:rFonts w:ascii="Aptos" w:cs="Aptos" w:eastAsia="Aptos" w:hAnsi="Aptos"/>
                <w:sz w:val="24"/>
                <w:szCs w:val="24"/>
              </w:rPr>
              <w:t xml:space="preserve">CAD, RMS, GIS, video / multimedia, ALI, IDACS, directory / network, email, VPN</w:t>
            </w: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Checklist Items</w:t>
      </w:r>
    </w:p>
    <w:p>
      <w:pPr>
        <w:spacing w:after="140"/>
      </w:pPr>
      <w:r>
        <w:rPr>
          <w:rFonts w:ascii="Aptos" w:cs="Aptos" w:eastAsia="Aptos" w:hAnsi="Aptos"/>
          <w:b/>
          <w:bCs/>
          <w:sz w:val="24"/>
          <w:szCs w:val="24"/>
        </w:rPr>
        <w:t xml:space="preserve">Provisioning (onboarding)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Account type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Provisioning action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notes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 / directory / network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 the user’s directory and network account for the approved role.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Provisioned from identity-platform role template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Email / messaging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Create email and messaging accounts.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Auto-provisioned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Application / CAD / RMS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Grant application access per the Access Entitlement Matrix.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CAD, RMS, GIS, video, ALI per dispatcher role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Remote / VPN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Provision remote access only if approved.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VPN issued; MFA required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IDACS / CJIS (if applicable)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Add the IDACS operator account through the TAC.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IDACS operator added via TAC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MFA / credentials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Enroll MFA and issue initial credentials per the Password &amp; Authentication Policy.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MFA enrolled at first logon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the accounts created in the Account-to-Role Assignment Register.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Register synced from the identity platform</w:t>
            </w:r>
          </w:p>
        </w:tc>
      </w:tr>
    </w:tbl>
    <w:p>
      <w:pPr>
        <w:spacing w:after="140"/>
      </w:pPr>
      <w:r>
        <w:rPr>
          <w:rFonts w:ascii="Aptos" w:cs="Aptos" w:eastAsia="Aptos" w:hAnsi="Aptos"/>
          <w:b/>
          <w:bCs/>
          <w:sz w:val="24"/>
          <w:szCs w:val="24"/>
        </w:rPr>
        <w:t xml:space="preserve">Deprovisioning (offboarding)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4660"/>
        <w:gridCol w:w="1500"/>
        <w:gridCol w:w="2500"/>
      </w:tblGrid>
      <w:tr>
        <w:trPr>
          <w:cantSplit/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Account type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Deprovisioning action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Y / N / 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Evidence / time completed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Remote / VPN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Disable remote access first, within the separation window.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Privileged / admin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Revoke privileged and administrator access.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User / directory / network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Disable the directory and network account.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Application / CAD / RMS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Remove application access.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IDACS / CJIS (if applicable)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Remove the IDACS operator account through the TAC.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Email / messaging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Disable or forward email per policy.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Credentials / tokens / devices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Reclaim tokens, keys, and Agency-owned devices; reset shared credentials the person knew.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Vendor / guest / service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Revoke vendor, guest, or temporary accounts tied to the person; reassign service-account ownership.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NA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n/a (onboarding)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completion on this checklist and confirm to the supervisor.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Y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Onboarding recorded; supervisor notified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Non-Compliance Escalation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If any item cannot be completed (marked N), notify the the Information Security Analyst, record it in the Risk / Finding Register, and set a due date. A separation that leaves any account enabled past the window is a finding and is escalated the same day.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Provisioning and deprovisioning driven from the identity platform against role templates; the checklist is the exception and sign-off record, retained with the access request.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0"/>
                <w:bCs/>
                <w:i w:val="0"/>
                <w:iCs/>
                <w:sz w:val="24"/>
                <w:szCs w:val="24"/>
              </w:rPr>
              <w:t xml:space="preserve">NENA-STA-040.2-2024: §6.2, §6.2.1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0"/>
                <w:bCs/>
                <w:i w:val="0"/>
                <w:iCs/>
                <w:sz w:val="24"/>
                <w:szCs w:val="24"/>
              </w:rPr>
              <w:t xml:space="preserve">NIST SP 800-53 Rev. 5: AC-2, AC-2(3), IA-4, PS-4, PS-5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0"/>
                <w:bCs/>
                <w:i w:val="0"/>
                <w:iCs/>
                <w:sz w:val="24"/>
                <w:szCs w:val="24"/>
              </w:rPr>
              <w:t xml:space="preserve">Indiana statutes and administrative code: 240 IAC 5 (IDACS)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0"/>
                <w:bCs/>
                <w:i w:val="0"/>
                <w:iCs/>
                <w:sz w:val="24"/>
                <w:szCs w:val="24"/>
              </w:rPr>
              <w:t xml:space="preserve">CJIS Security Policy v5.9: §5.5  (CJIS-regulated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Team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Sam Whitfield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/s/ Sam Whitfield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2026-05-18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Information Security Analyst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Raymond Osei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/s/ Raymond Osei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/>
              <w:t xml:space="preserve">2026-05-18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2026-05-18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IT Team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Initial issue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drawing>
        <wp:inline xmlns:a="http://schemas.openxmlformats.org/drawingml/2006/main" xmlns:pic="http://schemas.openxmlformats.org/drawingml/2006/picture">
          <wp:extent cx="777240" cy="7772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-tririv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" cy="77724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2026-06-01T15:29:11.487Z</dcterms:created>
  <dcterms:modified xsi:type="dcterms:W3CDTF">2026-06-01T15:29:11.487Z</dcterms:modified>
  <dc:title xmlns:dc="http://purl.org/dc/elements/1.1/">Account Provisioning &amp; Deprovisioning Checklist - EXAMPLE - 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