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Backup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Wabash Valley Communications backs up its critical data so the center can recover from equipment failure, ransomware, accidental deletion, or loss of a facility. It sets what is backed up, how often, how long copies are kept, and how backup media is protected, and it names the role accountable for backups.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Wabash Valley Communications personnel and any county or vendor IT responsible for backing up or restoring the center's systems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critical Wabash Valley Communications data identified in the Master Asset Inventory and Asset Criticality Ranking Matrix, including call recordings, dispatch and CAD logs, and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systems another agency owns and backs up under a separate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data: the Agency data whose loss would stop or degrade 9-1-1 call handling or dispatch, as identified in the Asset Criticality Ranking Matrix, including call recordings, dispatch and CAD logs, and operational databases.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Immutable backup: a backup copy stored so it cannot be altered or deleted for a set retention period, using write-once media or locked cloud storage.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back up all critical data identified in the Master Asset Inventory and Asset Criticality Ranking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run backups often enough to meet the recovery point objectives set in the RTO/RPO Documentation, and shall record the schedule in the Backup Schedule &amp; Media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backup copies for a defined retention period that meets operational and legal needs, consistent with the Data Retention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encrypt backup media at rest, following the Encryption Standards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at least one backup copy isolated from the systems it protects, using immutable or write-once storage where available, so a single failure or ransomware event cannot destroy both the systems and their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store at least one backup copy off-site or off-system, separated from the primary location it protects.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verify backups through integrity checks and confirm they can be restored, as recorded in the Restoration Test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Where backup sets contain criminal justice or personally identifiable information, the Agency shall apply the media-protection and encryption handling required by the CJIS Security Policy and the Data Classification Policy to those copies and their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Executive Director owns the Agency's backups, confirms this policy is followed, and is accountable for backup and recovery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the Agency's backups. Confirms backups run, are protected, and can be restored. Approves the retention period and any exception.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county 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Configures and runs backup jobs, protects and stores backup media, and performs restoration tests. Keeps the Backup Schedule &amp; Media Inventory and Restoration Test Records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Save Agency records to backed-up systems and storage, not to local or personal devices, so their work is captured by Agency backups.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Executive Director monitors compliance with this policy. A backup that is missing, unprotected, or unverified is recorded as a finding in the Risk / Finding Register. Violations are handled under the county's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Executive Director. A request must state the data or system affected, the reason, the compensating protection, and an expiry date. Exceptions are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systems, data, or recovery objectives, by the Executive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runs scheduled backups to encrypted on-prem and cloud storage, keeps the media inventory current, and tests a restore on a set cadence. A named coordinator owns the schedule.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§5.7, §5.7.2, §5.7.2.1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CP-6, CP-9, CP-10, MP-5, SC-28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§5.8 (Media Protection; where backup sets contain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Backup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