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Board / Leadership Security Reporting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Cover</w:t>
            </w:r>
          </w:p>
          <w:p>
            <w:pPr>
              <w:spacing w:after="60"/>
            </w:pPr>
            <w:r>
              <w:rPr>
                <w:rFonts w:ascii="Aptos" w:hAnsi="Aptos"/>
                <w:b/>
                <w:sz w:val="24"/>
              </w:rPr>
              <w:t xml:space="preserve">Reporting period: </w:t>
            </w:r>
            <w:r>
              <w:rPr>
                <w:rFonts w:ascii="Aptos" w:hAnsi="Aptos"/>
                <w:b w:val="0"/>
                <w:sz w:val="24"/>
              </w:rPr>
              <w:t xml:space="preserve">Q1 2026      </w:t>
            </w:r>
            <w:r>
              <w:rPr>
                <w:rFonts w:ascii="Aptos" w:hAnsi="Aptos"/>
                <w:b/>
                <w:sz w:val="24"/>
              </w:rPr>
              <w:t xml:space="preserve">Prepared by (role): </w:t>
            </w:r>
            <w:r>
              <w:rPr>
                <w:rFonts w:ascii="Aptos" w:hAnsi="Aptos"/>
                <w:b w:val="0"/>
                <w:sz w:val="24"/>
              </w:rPr>
              <w:t>Information Security Analyst</w:t>
            </w:r>
          </w:p>
          <w:p>
            <w:pPr>
              <w:spacing w:after="60"/>
            </w:pPr>
            <w:r>
              <w:rPr>
                <w:rFonts w:ascii="Aptos" w:hAnsi="Aptos"/>
                <w:b/>
                <w:sz w:val="24"/>
              </w:rPr>
              <w:t xml:space="preserve">Audience: </w:t>
            </w:r>
            <w:r>
              <w:rPr>
                <w:rFonts w:ascii="Aptos" w:hAnsi="Aptos"/>
                <w:b w:val="0"/>
                <w:sz w:val="24"/>
              </w:rPr>
              <w:t>Regional oversight board</w:t>
            </w:r>
          </w:p>
          <w:p>
            <w:pPr>
              <w:spacing w:after="60"/>
            </w:pPr>
            <w:r>
              <w:rPr>
                <w:rFonts w:ascii="Aptos" w:hAnsi="Aptos"/>
                <w:b/>
                <w:sz w:val="24"/>
              </w:rPr>
              <w:t xml:space="preserve">Owner: </w:t>
            </w:r>
            <w:r>
              <w:rPr>
                <w:rFonts w:ascii="Aptos" w:hAnsi="Aptos"/>
                <w:b w:val="0"/>
                <w:sz w:val="24"/>
              </w:rPr>
              <w:t>Information Security Analyst</w:t>
            </w:r>
          </w:p>
          <w:p>
            <w:pPr>
              <w:spacing w:after="20"/>
            </w:pPr>
            <w:r>
              <w:rPr>
                <w:rFonts w:ascii="Aptos" w:hAnsi="Aptos"/>
                <w:b/>
                <w:sz w:val="24"/>
              </w:rPr>
              <w:t xml:space="preserve">Classification: </w:t>
            </w:r>
            <w:r>
              <w:rPr>
                <w:rFonts w:ascii="Aptos" w:hAnsi="Aptos"/>
                <w:b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20" w:before="0"/>
      </w:pPr>
      <w:r>
        <w:rPr>
          <w:rFonts w:ascii="Aptos" w:cs="Aptos" w:eastAsia="Aptos" w:hAnsi="Aptos"/>
          <w:b w:val="false"/>
          <w:bCs w:val="false"/>
          <w:i w:val="false"/>
          <w:iCs w:val="false"/>
          <w:sz w:val="24"/>
          <w:szCs w:val="24"/>
        </w:rPr>
        <w:t>Posture is stable across both centers. Expanding multimedia ingestion and third-party integrations are the main upward pressures on risk; both are being treated. The information security analyst asks the board to note the privileged-access management rollout timeline and approve continued vendor assessments. No reportable cyber incidents occurred.</w:t>
      </w:r>
    </w:p>
    <w:p>
      <w:pPr>
        <w:pStyle w:val="Heading2"/>
        <w:spacing w:after="100" w:before="220"/>
      </w:pPr>
      <w:r>
        <w:rPr>
          <w:rFonts w:ascii="Aptos" w:cs="Aptos" w:eastAsia="Aptos" w:hAnsi="Aptos"/>
          <w:b/>
          <w:bCs/>
          <w:color w:val="1B3A5C"/>
          <w:sz w:val="26"/>
          <w:szCs w:val="26"/>
        </w:rPr>
        <w:t>2. Program Status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1300"/>
        <w:gridCol w:w="406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Metric</w:t>
            </w:r>
          </w:p>
        </w:tc>
        <w:tc>
          <w:tcPr>
            <w:tcW w:type="dxa" w:w="2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This Period</w:t>
            </w:r>
          </w:p>
        </w:tc>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Trend</w:t>
            </w:r>
          </w:p>
        </w:tc>
        <w:tc>
          <w:tcPr>
            <w:tcW w:type="dxa" w:w="40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risks (by rating)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7 (5 High)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Flat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Multimedia ingestion is the top driver</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Findings closed this period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Up</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Closed from the POA&amp;M</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Overdue remediation items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Down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PAM milestones slipped</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Training completion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97%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Up</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37 of 38 staff complete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Reportable incidents this period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Flat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 IOT reports required</w:t>
            </w:r>
          </w:p>
        </w:tc>
      </w:tr>
    </w:tbl>
    <w:p>
      <w:pPr>
        <w:pStyle w:val="Heading2"/>
        <w:spacing w:after="100" w:before="220"/>
      </w:pPr>
      <w:r>
        <w:rPr>
          <w:rFonts w:ascii="Aptos" w:cs="Aptos" w:eastAsia="Aptos" w:hAnsi="Aptos"/>
          <w:b/>
          <w:bCs/>
          <w:color w:val="1B3A5C"/>
          <w:sz w:val="26"/>
          <w:szCs w:val="26"/>
        </w:rPr>
        <w:t>3. Open Risk Decisions / Items Requiring Leadership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2000"/>
        <w:gridCol w:w="2200"/>
        <w:gridCol w:w="1460"/>
      </w:tblGrid>
      <w:tr>
        <w:trPr>
          <w:cantSplit/>
          <w:tblHeader/>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Item</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Risk / Finding ref</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Decision needed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Recommended 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Owner (role)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PAM rollout timeline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RISK-004 / POA&amp;M-004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 timeline?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 privileged-access management completes by Q3</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Director</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security assessments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RISK-003 / POA&amp;M-003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 continuation?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Continue assessing integration vendors on renewal</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Director</w:t>
            </w:r>
          </w:p>
        </w:tc>
      </w:tr>
    </w:tbl>
    <w:p>
      <w:pPr>
        <w:pStyle w:val="Heading2"/>
        <w:spacing w:after="100" w:before="220"/>
      </w:pPr>
      <w:r>
        <w:rPr>
          <w:rFonts w:ascii="Aptos" w:cs="Aptos" w:eastAsia="Aptos" w:hAnsi="Aptos"/>
          <w:b/>
          <w:bCs/>
          <w:color w:val="1B3A5C"/>
          <w:sz w:val="26"/>
          <w:szCs w:val="26"/>
        </w:rPr>
        <w:t>4. Open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400"/>
        <w:gridCol w:w="1600"/>
        <w:gridCol w:w="1500"/>
        <w:gridCol w:w="2160"/>
      </w:tblGrid>
      <w:tr>
        <w:trPr>
          <w:cantSplit/>
          <w:tblHeader/>
        </w:trPr>
        <w:tc>
          <w:tcPr>
            <w:tcW w:type="dxa" w:w="2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Finding ref</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Severity</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Status</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Due date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Owner (role)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POA&amp;M-002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progress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2026-06-05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POA&amp;M-004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progress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2026-06-05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POA&amp;M-005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progress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2026-06-05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bl>
    <w:p>
      <w:pPr>
        <w:pStyle w:val="Heading2"/>
        <w:spacing w:after="100" w:before="220"/>
      </w:pPr>
      <w:r>
        <w:rPr>
          <w:rFonts w:ascii="Aptos" w:cs="Aptos" w:eastAsia="Aptos" w:hAnsi="Aptos"/>
          <w:b/>
          <w:bCs/>
          <w:color w:val="1B3A5C"/>
          <w:sz w:val="26"/>
          <w:szCs w:val="26"/>
        </w:rPr>
        <w:t>5. Reporting Cadence</w:t>
      </w:r>
    </w:p>
    <w:p>
      <w:pPr>
        <w:spacing w:after="120" w:before="0"/>
      </w:pPr>
      <w:r>
        <w:rPr>
          <w:rFonts w:ascii="Aptos" w:cs="Aptos" w:eastAsia="Aptos" w:hAnsi="Aptos"/>
          <w:b w:val="false"/>
          <w:bCs w:val="false"/>
          <w:i w:val="false"/>
          <w:iCs w:val="false"/>
          <w:sz w:val="24"/>
          <w:szCs w:val="24"/>
        </w:rPr>
        <w:t>This report is produced quarterly for the regional oversight board, on the schedule set in the Governance Reporting Calendar. The reporting period and audience are recorded in the cover block above.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security function produces the report on a fixed cadence, with metrics drawn from the monitoring program and risk tooling, as a standing item at the leadership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§4.1.1, §4.3</w:t>
            </w:r>
          </w:p>
          <w:p>
            <w:pPr>
              <w:spacing w:after="40" w:before="0"/>
            </w:pPr>
            <w:r>
              <w:rPr>
                <w:rFonts w:ascii="Aptos" w:cs="Aptos" w:eastAsia="Aptos" w:hAnsi="Aptos"/>
                <w:b w:val="false"/>
                <w:bCs w:val="false"/>
                <w:i w:val="false"/>
                <w:iCs w:val="false"/>
                <w:sz w:val="24"/>
                <w:szCs w:val="24"/>
              </w:rPr>
              <w:t>NIST SP 800-53 Rev. 5: PM-4, PM-6, PM-9, PM-15, RA-7</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Prepared by (Information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Acknowledged by (Executive Director / leadership)</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Board / Leadership Security Reporting Template - EXAMPLE - L</dc:title>
</cp:coreProperties>
</file>

<file path=docProps/custom.xml><?xml version="1.0" encoding="utf-8"?>
<Properties xmlns="http://schemas.openxmlformats.org/officeDocument/2006/custom-properties" xmlns:vt="http://schemas.openxmlformats.org/officeDocument/2006/docPropsVTypes"/>
</file>