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Board / Leadership Security Reporting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sz w:val="24"/>
              </w:rPr>
              <w:t xml:space="preserve">Reporting period: </w:t>
            </w:r>
            <w:r>
              <w:rPr>
                <w:rFonts w:ascii="Aptos" w:hAnsi="Aptos"/>
                <w:b w:val="0"/>
                <w:sz w:val="24"/>
              </w:rPr>
              <w:t xml:space="preserve">Q1 2026      </w:t>
            </w:r>
            <w:r>
              <w:rPr>
                <w:rFonts w:ascii="Aptos" w:hAnsi="Aptos"/>
                <w:b/>
                <w:sz w:val="24"/>
              </w:rPr>
              <w:t xml:space="preserve">Prepared by (role): </w:t>
            </w:r>
            <w:r>
              <w:rPr>
                <w:rFonts w:ascii="Aptos" w:hAnsi="Aptos"/>
                <w:b w:val="0"/>
                <w:sz w:val="24"/>
              </w:rPr>
              <w:t>Security Coordinator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sz w:val="24"/>
              </w:rPr>
              <w:t xml:space="preserve">Audience: </w:t>
            </w:r>
            <w:r>
              <w:rPr>
                <w:rFonts w:ascii="Aptos" w:hAnsi="Aptos"/>
                <w:b w:val="0"/>
                <w:sz w:val="24"/>
              </w:rPr>
              <w:t>Governing board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sz w:val="24"/>
              </w:rPr>
              <w:t xml:space="preserve">Owner: </w:t>
            </w:r>
            <w:r>
              <w:rPr>
                <w:rFonts w:ascii="Aptos" w:hAnsi="Aptos"/>
                <w:b w:val="0"/>
                <w:sz w:val="24"/>
              </w:rPr>
              <w:t>Security Coordinator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sz w:val="24"/>
              </w:rPr>
              <w:t xml:space="preserve">Classification: </w:t>
            </w:r>
            <w:r>
              <w:rPr>
                <w:rFonts w:ascii="Aptos" w:hAnsi="Aptos"/>
                <w:b w:val="0"/>
                <w:sz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Risk posture is steady this quarter. The dual ESInet path is under review and the county patch backlog is closing. The security coordinator asks leadership to confirm the multi-factor requirement for vendor remote access. No reportable cyber incidents occurred.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Program Status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300"/>
        <w:gridCol w:w="1300"/>
        <w:gridCol w:w="40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This Period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Trend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Open risks (by rating)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6 (3 High)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Down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Patch backlog closing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Findings closed this period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Up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Closed from the POA&amp;M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Overdue remediation items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Down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Logging consolidation slipped one cycle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Training completion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Up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13 of 14 staff complete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Reportable incidents this period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Flat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IOT reports required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Open Risk Decisions / Items Requiring Leadership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800"/>
        <w:gridCol w:w="2000"/>
        <w:gridCol w:w="2200"/>
        <w:gridCol w:w="14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Risk / Finding ref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Decision needed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Recommended 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Vendor MFA 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RISK-004 / POA&amp;M-004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Confirm SLA change?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Require MFA for all vendor remote access in the SLA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Logging consolidation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RISK-005 / POA&amp;M-005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 resource?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Fund unified logging across cloud and on-prem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Open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400"/>
        <w:gridCol w:w="1600"/>
        <w:gridCol w:w="1500"/>
        <w:gridCol w:w="216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Finding 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Due date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POA&amp;M-002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2026-06-10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POA&amp;M-004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2026-06-10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POA&amp;M-005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Moderate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2026-06-10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Reporting Cadence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report is produced quarterly for the governing board, on the schedule set in the Governance Reporting Calendar. The reporting period and audience are recorded in the cover block above.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coordinator compiles the roll-up from the Risk Register and the POA&amp;M; the director presents to leadership. A short trend per metric is enough.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§4.1.1, §4.3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PM-4, PM-6, PM-9, PM-15,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Prepared by (Security Coordinator)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Acknowledged by (Director / leadership)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Board / Leadership Security Reporting Template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