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Risk Management Methodology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Adopted by Hickory County 911 under the authority of Tracy Holloway, Director.</w:t>
            </w:r>
            <w:r>
              <w:rPr>
                <w:rFonts w:ascii="Aptos" w:cs="Aptos" w:eastAsia="Aptos" w:hAnsi="Aptos"/>
                <w:b w:val="false"/>
                <w:bCs w:val="false"/>
                <w:i w:val="false"/>
                <w:iCs w:val="false"/>
                <w:sz w:val="24"/>
                <w:szCs w:val="24"/>
              </w:rPr>
              <w:t xml:space="preserve"/>
            </w:r>
            <w:r>
              <w:rPr>
                <w:rFonts w:ascii="Aptos" w:cs="Aptos" w:eastAsia="Aptos" w:hAnsi="Aptos"/>
                <w:b/>
                <w:bCs/>
                <w:i w:val="false"/>
                <w:iCs w:val="false"/>
                <w:sz w:val="24"/>
                <w:szCs w:val="24"/>
              </w:rPr>
              <w:t xml:space="preserve"/>
            </w:r>
            <w:r>
              <w:rPr>
                <w:rFonts w:ascii="Aptos" w:cs="Aptos" w:eastAsia="Aptos" w:hAnsi="Aptos"/>
                <w:b w:val="false"/>
                <w:bCs w:val="false"/>
                <w:i w:val="false"/>
                <w:iCs w:val="false"/>
                <w:sz w:val="24"/>
                <w:szCs w:val="24"/>
              </w:rPr>
              <w:t xml:space="preserve"/>
            </w:r>
            <w:r>
              <w:rPr>
                <w:rFonts w:ascii="Aptos" w:cs="Aptos" w:eastAsia="Aptos" w:hAnsi="Aptos"/>
                <w:b/>
                <w:bCs/>
                <w:i w:val="false"/>
                <w:iCs w:val="false"/>
                <w:sz w:val="24"/>
                <w:szCs w:val="24"/>
              </w:rPr>
              <w:t xml:space="preserve"/>
            </w:r>
            <w:r>
              <w:rPr>
                <w:rFonts w:ascii="Aptos" w:cs="Aptos" w:eastAsia="Aptos" w:hAnsi="Aptos"/>
                <w:b w:val="false"/>
                <w:bCs w:val="false"/>
                <w:i w:val="false"/>
                <w:iCs w:val="false"/>
                <w:sz w:val="24"/>
                <w:szCs w:val="24"/>
              </w:rPr>
              <w:t xml:space="preserve"/>
            </w:r>
          </w:p>
          <w:p>
            <w:pPr>
              <w:spacing w:after="60"/>
            </w:pPr>
            <w:r>
              <w:rPr>
                <w:rFonts w:ascii="Aptos" w:cs="Aptos" w:eastAsia="Aptos" w:hAnsi="Aptos"/>
                <w:b/>
                <w:bCs/>
                <w:i w:val="false"/>
                <w:iCs w:val="false"/>
                <w:sz w:val="24"/>
                <w:szCs w:val="24"/>
              </w:rPr>
              <w:t xml:space="preserve">Version: 1.0    Effective Date: February 17, 2026    Next Review: February 17, 2027</w:t>
            </w:r>
            <w:r>
              <w:rPr>
                <w:rFonts w:ascii="Aptos" w:cs="Aptos" w:eastAsia="Aptos" w:hAnsi="Aptos"/>
                <w:b w:val="false"/>
                <w:bCs w:val="false"/>
                <w:i w:val="false"/>
                <w:iCs w:val="false"/>
                <w:sz w:val="24"/>
                <w:szCs w:val="24"/>
              </w:rPr>
              <w:t xml:space="preserve"/>
            </w:r>
            <w:r>
              <w:rPr>
                <w:rFonts w:ascii="Aptos" w:cs="Aptos" w:eastAsia="Aptos" w:hAnsi="Aptos"/>
                <w:b/>
                <w:bCs/>
                <w:i w:val="false"/>
                <w:iCs w:val="false"/>
                <w:sz w:val="24"/>
                <w:szCs w:val="24"/>
              </w:rPr>
              <w:t xml:space="preserve"/>
            </w:r>
            <w:r>
              <w:rPr>
                <w:rFonts w:ascii="Aptos" w:cs="Aptos" w:eastAsia="Aptos" w:hAnsi="Aptos"/>
                <w:b w:val="false"/>
                <w:bCs w:val="false"/>
                <w:i w:val="false"/>
                <w:iCs w:val="false"/>
                <w:sz w:val="24"/>
                <w:szCs w:val="24"/>
              </w:rPr>
              <w:t xml:space="preserve"/>
            </w:r>
            <w:r>
              <w:rPr>
                <w:rFonts w:ascii="Aptos" w:cs="Aptos" w:eastAsia="Aptos" w:hAnsi="Aptos"/>
                <w:b/>
                <w:bCs/>
                <w:i w:val="false"/>
                <w:iCs w:val="false"/>
                <w:sz w:val="24"/>
                <w:szCs w:val="24"/>
              </w:rPr>
              <w:t xml:space="preserve"/>
            </w:r>
            <w:r>
              <w:rPr>
                <w:rFonts w:ascii="Aptos" w:cs="Aptos" w:eastAsia="Aptos" w:hAnsi="Aptos"/>
                <w:b w:val="false"/>
                <w:bCs w:val="false"/>
                <w:i w:val="false"/>
                <w:iCs w:val="false"/>
                <w:sz w:val="24"/>
                <w:szCs w:val="24"/>
              </w:rPr>
              <w:t xml:space="preserve"/>
            </w:r>
          </w:p>
          <w:p>
            <w:pPr>
              <w:spacing w:after="60"/>
            </w:pPr>
            <w:r>
              <w:rPr>
                <w:rFonts w:ascii="Aptos" w:cs="Aptos" w:eastAsia="Aptos" w:hAnsi="Aptos"/>
                <w:b/>
                <w:bCs/>
                <w:i w:val="false"/>
                <w:iCs w:val="false"/>
                <w:sz w:val="24"/>
                <w:szCs w:val="24"/>
              </w:rPr>
              <w:t xml:space="preserve">Owner: Director</w:t>
            </w:r>
            <w:r>
              <w:rPr>
                <w:rFonts w:ascii="Aptos" w:cs="Aptos" w:eastAsia="Aptos" w:hAnsi="Aptos"/>
                <w:b w:val="false"/>
                <w:bCs w:val="false"/>
                <w:i w:val="false"/>
                <w:iCs w:val="false"/>
                <w:sz w:val="24"/>
                <w:szCs w:val="24"/>
              </w:rPr>
              <w:t xml:space="preserve"/>
            </w:r>
          </w:p>
          <w:p>
            <w:pPr>
              <w:spacing w:after="20"/>
            </w:pPr>
            <w:r>
              <w:rPr>
                <w:rFonts w:ascii="Aptos" w:cs="Aptos" w:eastAsia="Aptos" w:hAnsi="Aptos"/>
                <w:b/>
                <w:bCs/>
                <w:i w:val="false"/>
                <w:iCs w:val="false"/>
                <w:sz w:val="24"/>
                <w:szCs w:val="24"/>
              </w:rPr>
              <w:t xml:space="preserve">Classification: Internal</w:t>
            </w:r>
            <w:r>
              <w:rPr>
                <w:rFonts w:ascii="Aptos" w:cs="Aptos" w:eastAsia="Aptos" w:hAnsi="Aptos"/>
                <w:b w:val="false"/>
                <w:bCs w:val="false"/>
                <w:i w:val="false"/>
                <w:iCs w:val="false"/>
                <w:sz w:val="24"/>
                <w:szCs w:val="24"/>
              </w:rPr>
              <w:t xml:space="preserve"/>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 xml:space="preserve">This standard sets how Hickory County 911 manages cybersecurity risk: the risk it is willing to accept, the scales it uses to score risk, and the threats it accounts for. It implements the Cybersecurity &amp; Privacy Policy and governs the Risk Assessment Procedure that runs against it.</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all mission-critical public-safety systems and the data they handle, and every risk assessment the Agency performs.</w:t>
      </w:r>
    </w:p>
    <w:p>
      <w:pPr>
        <w:pStyle w:val="ListParagraph"/>
        <w:numPr>
          <w:ilvl w:val="0"/>
          <w:numId w:val="2"/>
        </w:numPr>
        <w:spacing w:after="60"/>
      </w:pPr>
      <w:r>
        <w:rPr>
          <w:rFonts w:ascii="Aptos" w:cs="Aptos" w:eastAsia="Aptos" w:hAnsi="Aptos"/>
          <w:b w:val="false"/>
          <w:bCs w:val="false"/>
          <w:i w:val="false"/>
          <w:iCs w:val="false"/>
          <w:sz w:val="24"/>
          <w:szCs w:val="24"/>
        </w:rPr>
        <w:t xml:space="preserve">Implements: Cybersecurity &amp; Privacy Policy.</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None.</w:t>
      </w:r>
    </w:p>
    <w:p>
      <w:pPr>
        <w:pStyle w:val="Heading2"/>
        <w:spacing w:after="100" w:before="220"/>
      </w:pPr>
      <w:r>
        <w:rPr>
          <w:rFonts w:ascii="Aptos" w:cs="Aptos" w:eastAsia="Aptos" w:hAnsi="Aptos"/>
          <w:b/>
          <w:bCs/>
          <w:color w:val="1B3A5C"/>
          <w:sz w:val="26"/>
          <w:szCs w:val="26"/>
        </w:rPr>
        <w:t xml:space="preserve">3. Requirements</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shall manage risk to its mission-critical systems within the risk appetite stated below, and shall not accept a risk above that appetite without a recorded deviation.</w:t>
      </w:r>
    </w:p>
    <w:p>
      <w:pPr>
        <w:pStyle w:val="ListParagraph"/>
        <w:numPr>
          <w:ilvl w:val="0"/>
          <w:numId w:val="3"/>
        </w:numPr>
        <w:spacing w:after="60"/>
      </w:pPr>
      <w:r>
        <w:rPr>
          <w:rFonts w:ascii="Aptos" w:cs="Aptos" w:eastAsia="Aptos" w:hAnsi="Aptos"/>
          <w:b w:val="false"/>
          <w:bCs w:val="false"/>
          <w:i w:val="false"/>
          <w:iCs w:val="false"/>
          <w:sz w:val="24"/>
          <w:szCs w:val="24"/>
        </w:rPr>
        <w:t xml:space="preserve">Risk appetite. The Agency accepts low-to-moderate residual risk to systems that support 9-1-1 call handling and dispatch, and accepts no avoidable risk that would interrupt call answering or dispatch. </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shall score each risk on likelihood and impact using the scales in Approved and Prohibited, rating impact against service availability, data, and life safety.</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shall account for, at minimum, the threat vectors listed in Approved and Prohibited: phishing and social engineering, malware and ransomware, supplier and third-party compromise, and denial-of-service against call delivery.</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shall assess risk at least annually and after any major system change or significant incident, following the Risk Assessment Procedure.</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shall record assessed risks in the Risk Register and track treatment decisions in the Risk / Finding Register (POA&amp;M).</w:t>
      </w:r>
    </w:p>
    <w:p>
      <w:pPr>
        <w:pStyle w:val="Heading2"/>
        <w:spacing w:after="100" w:before="220"/>
      </w:pPr>
      <w:r>
        <w:rPr>
          <w:rFonts w:ascii="Aptos" w:cs="Aptos" w:eastAsia="Aptos" w:hAnsi="Aptos"/>
          <w:b/>
          <w:bCs/>
          <w:color w:val="1B3A5C"/>
          <w:sz w:val="26"/>
          <w:szCs w:val="26"/>
        </w:rPr>
        <w:t xml:space="preserve">4. Approved and Prohibited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w:t>
            </w:r>
          </w:p>
        </w:tc>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Prohibited</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Likelihood scale: Rare, Unlikely, Possible, Likely, Almost Certain.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Scoring risk without the approved scales.</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Impact scale: Negligible, Minor, Moderate, Major, Severe, rated against service, data, and life safety.</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Treating a life-safety impact as anything below Major.</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Risk rating: likelihood combined with impact, mapped to Low, Moderate, High, Critical.</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Accepting a High or Critical risk to call handling or dispatch without a recorded deviation.</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Threat vectors in scope: phishing, malware and ransomware, supplier compromise, denial-of-service.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Leaving an assessed risk out of the Risk Register.</w:t>
            </w:r>
          </w:p>
        </w:tc>
      </w:tr>
    </w:tbl>
    <w:p>
      <w:pPr>
        <w:pStyle w:val="Heading2"/>
        <w:spacing w:after="100" w:before="220"/>
      </w:pPr>
      <w:r>
        <w:rPr>
          <w:rFonts w:ascii="Aptos" w:cs="Aptos" w:eastAsia="Aptos" w:hAnsi="Aptos"/>
          <w:b/>
          <w:bCs/>
          <w:color w:val="1B3A5C"/>
          <w:sz w:val="26"/>
          <w:szCs w:val="26"/>
        </w:rPr>
        <w:t xml:space="preserve">5. Deviation Process</w:t>
      </w:r>
    </w:p>
    <w:p>
      <w:pPr>
        <w:spacing w:after="120" w:before="0"/>
      </w:pPr>
      <w:r>
        <w:rPr>
          <w:rFonts w:ascii="Aptos" w:cs="Aptos" w:eastAsia="Aptos" w:hAnsi="Aptos"/>
          <w:b w:val="false"/>
          <w:bCs w:val="false"/>
          <w:i w:val="false"/>
          <w:iCs w:val="false"/>
          <w:sz w:val="24"/>
          <w:szCs w:val="24"/>
        </w:rPr>
        <w:t xml:space="preserve">A deviation from this standard, including accepting a risk above the stated appetite, requires written approval from the Director. The request states the risk, the reason, any compensating controls, and an end date. Approved deviations are recorded in the Risk Register and reviewed at least annually.</w:t>
      </w:r>
    </w:p>
    <w:p>
      <w:pPr>
        <w:pStyle w:val="Heading2"/>
        <w:spacing w:after="100" w:before="220"/>
      </w:pPr>
      <w:r>
        <w:rPr>
          <w:rFonts w:ascii="Aptos" w:cs="Aptos" w:eastAsia="Aptos" w:hAnsi="Aptos"/>
          <w:b/>
          <w:bCs/>
          <w:color w:val="1B3A5C"/>
          <w:sz w:val="26"/>
          <w:szCs w:val="26"/>
        </w:rPr>
        <w:t xml:space="preserve">6. Review Schedule</w:t>
      </w:r>
    </w:p>
    <w:p>
      <w:pPr>
        <w:spacing w:after="120" w:before="0"/>
      </w:pPr>
      <w:r>
        <w:rPr>
          <w:rFonts w:ascii="Aptos" w:cs="Aptos" w:eastAsia="Aptos" w:hAnsi="Aptos"/>
          <w:b w:val="false"/>
          <w:bCs w:val="false"/>
          <w:i w:val="false"/>
          <w:iCs w:val="false"/>
          <w:sz w:val="24"/>
          <w:szCs w:val="24"/>
        </w:rPr>
        <w:t xml:space="preserve">This standard is reviewed at least annually and after any significant change to the Agency's systems, threats, or risk tolerance, by the Director.</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Use the scales as written and keep the assessment light: one director-led review a year, plus a check after any major change. The appetite statement matters most; set it deliberately and hold to 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 xml:space="preserve">NENA-STA-040.2-2024: §4.2.1, §4.3.1, §4.3.2</w:t>
            </w:r>
          </w:p>
          <w:p>
            <w:pPr>
              <w:spacing w:after="40" w:before="0"/>
            </w:pPr>
            <w:r>
              <w:rPr>
                <w:rFonts w:ascii="Aptos" w:cs="Aptos" w:eastAsia="Aptos" w:hAnsi="Aptos"/>
                <w:b w:val="false"/>
                <w:bCs w:val="false"/>
                <w:i w:val="false"/>
                <w:iCs w:val="false"/>
                <w:sz w:val="24"/>
                <w:szCs w:val="24"/>
              </w:rPr>
              <w:t xml:space="preserve">NIST SP 800-53 Rev. 5: PM-9, PM-28, RA-1, RA-3, RA-7</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(approving)</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February 17,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(owner)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February 17,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February 17,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 and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2"/>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90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2026-06-01T15:29:11.465Z</dcterms:created>
  <dcterms:modified xsi:type="dcterms:W3CDTF">2026-06-01T15:29:11.465Z</dcterms:modified>
  <dc:title xmlns:dc="http://purl.org/dc/elements/1.1/">Risk Management Methodology Standard - EXAMPLE - S</dc:title>
</cp:coreProperties>
</file>

<file path=docProps/custom.xml><?xml version="1.0" encoding="utf-8"?>
<Properties xmlns="http://schemas.openxmlformats.org/officeDocument/2006/custom-properties" xmlns:vt="http://schemas.openxmlformats.org/officeDocument/2006/docPropsVTypes"/>
</file>