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Account Provisioning &amp; Deprovisioning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Tri-River Regional 911 Center under the authority of the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2026-03-15    </w:t>
            </w:r>
            <w:r>
              <w:rPr>
                <w:rFonts w:ascii="Aptos" w:cs="Aptos" w:eastAsia="Aptos" w:hAnsi="Aptos"/>
                <w:b/>
                <w:bCs/>
                <w:sz w:val="24"/>
                <w:szCs w:val="24"/>
              </w:rPr>
              <w:t xml:space="preserve">Next Review: </w:t>
            </w:r>
            <w:r>
              <w:rPr>
                <w:rFonts w:ascii="Aptos" w:cs="Aptos" w:eastAsia="Aptos" w:hAnsi="Aptos"/>
                <w:sz w:val="24"/>
                <w:szCs w:val="24"/>
              </w:rPr>
              <w:t xml:space="preserve">2027-03-15</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IT Team</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 xml:space="preserve">This procedure defines how the Agency requests, approves, creates, changes, and disables accounts across its systems, so access is granted only when authorized and removed promptly when no longer needed. It is HR-aligned and runs from the Account Provisioning &amp; Deprovisioning Checklist.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sz w:val="24"/>
          <w:szCs w:val="24"/>
        </w:rPr>
        <w:t xml:space="preserve">Applies to: IT support and the roles that request and approve access; all personnel who hold or grant access.</w:t>
      </w:r>
    </w:p>
    <w:p>
      <w:pPr>
        <w:pStyle w:val="ListParagraph"/>
        <w:numPr>
          <w:ilvl w:val="0"/>
          <w:numId w:val="2"/>
        </w:numPr>
        <w:spacing w:after="60"/>
      </w:pPr>
      <w:r>
        <w:rPr>
          <w:rFonts w:ascii="Aptos" w:cs="Aptos" w:eastAsia="Aptos" w:hAnsi="Aptos"/>
          <w:sz w:val="24"/>
          <w:szCs w:val="24"/>
        </w:rPr>
        <w:t xml:space="preserve">Covers: user, remote, guest, temporary, vendor, and service accounts across Agency systems, including IDACS operator accounts.</w:t>
      </w:r>
    </w:p>
    <w:p>
      <w:pPr>
        <w:pStyle w:val="ListParagraph"/>
        <w:numPr>
          <w:ilvl w:val="0"/>
          <w:numId w:val="2"/>
        </w:numPr>
        <w:spacing w:after="60"/>
      </w:pPr>
      <w:r>
        <w:rPr>
          <w:rFonts w:ascii="Aptos" w:cs="Aptos" w:eastAsia="Aptos" w:hAnsi="Aptos"/>
          <w:sz w:val="24"/>
          <w:szCs w:val="24"/>
        </w:rPr>
        <w:t xml:space="preserve">Excludes: changes made solely by the provider on hosted services the Agency does not administer.</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sz w:val="24"/>
          <w:szCs w:val="24"/>
        </w:rPr>
        <w:t xml:space="preserve">The Access Control Policy and role definitions (Access Entitlement Matrix) are in force.</w:t>
      </w:r>
    </w:p>
    <w:p>
      <w:pPr>
        <w:pStyle w:val="ListParagraph"/>
        <w:numPr>
          <w:ilvl w:val="0"/>
          <w:numId w:val="3"/>
        </w:numPr>
        <w:spacing w:after="60"/>
      </w:pPr>
      <w:r>
        <w:rPr>
          <w:rFonts w:ascii="Aptos" w:cs="Aptos" w:eastAsia="Aptos" w:hAnsi="Aptos"/>
          <w:sz w:val="24"/>
          <w:szCs w:val="24"/>
        </w:rPr>
        <w:t xml:space="preserve">An HR or supervisor trigger (hire, role change, or separation) initiates the workflow.</w:t>
      </w:r>
    </w:p>
    <w:p>
      <w:pPr>
        <w:pStyle w:val="ListParagraph"/>
        <w:numPr>
          <w:ilvl w:val="0"/>
          <w:numId w:val="3"/>
        </w:numPr>
        <w:spacing w:after="60"/>
      </w:pPr>
      <w:r>
        <w:rPr>
          <w:rFonts w:ascii="Aptos" w:cs="Aptos" w:eastAsia="Aptos" w:hAnsi="Aptos"/>
          <w:sz w:val="24"/>
          <w:szCs w:val="24"/>
        </w:rPr>
        <w:t xml:space="preserve">IT has the access needed to create and disable accounts on each system.</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b/>
          <w:bCs/>
          <w:sz w:val="24"/>
          <w:szCs w:val="24"/>
        </w:rPr>
        <w:t xml:space="preserve">Provisioning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HR or the supervisor submits an access request naming the person, role, start date, and systems.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 / HR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the Information Security Analyst approves the request against the Access Entitlement Matrix (least privilege).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authority</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creates accounts on the approved systems and records them on the Account Provisioning &amp; Deprovisioning Checklist.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sets initial credentials and MFA per the Password &amp; Authentication Policy and confirms access with the user.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person-to-role assignment is recorded in the Account-to-Role Assignment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Change (role change or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supervisor submits a change request when a person’s role changes.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adjusts entitlements to the new role and removes access no longer needed, within 1 business day.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updates the Account-to-Role Assignment Register and the checklist.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Deprovisioning (offboarding)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HR or the supervisor notifies IT of a separation or end of engagement, with the effective date and time.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 / HR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disables the person’s accounts across all systems within 1 hour of separation, starting with remote and privileged access.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reclaims tokens, keys, and Agency-owned devices, and revokes vendor or guest accounts tied to the person.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records the deprovisioning on the checklist and confirms completion to the supervisor.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Inactivity automation</w:t>
      </w:r>
    </w:p>
    <w:p>
      <w:pPr>
        <w:spacing w:after="140"/>
      </w:pPr>
      <w:r>
        <w:rPr>
          <w:rFonts w:ascii="Aptos" w:cs="Aptos" w:eastAsia="Aptos" w:hAnsi="Aptos"/>
          <w:sz w:val="24"/>
          <w:szCs w:val="24"/>
        </w:rPr>
        <w:t xml:space="preserve">The Agency detects accounts unused for 30 days and disables them automatically on a set schedule. the identity platform disables inactive accounts automatically from the HR feed. Automated disablement is logged and the account owner’s supervisor is notified. Accounts that must stay enabled despite inactivity (for example break-glass or seasonal accounts) are documented as exceptions and reviewed at each account certification.</w:t>
      </w:r>
    </w:p>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sz w:val="24"/>
          <w:szCs w:val="24"/>
        </w:rPr>
        <w:t xml:space="preserve">For each request the operator can show the approval, the accounts created or disabled, and the completed checklist. On a sample, disabled accounts can no longer authenticate and no active account belongs to a separated person.</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sz w:val="24"/>
          <w:szCs w:val="24"/>
        </w:rPr>
        <w:t xml:space="preserve">Access Control Policy; Access Entitlement Matrix; Account-to-Role Assignment Register; Account Provisioning &amp; Deprovisioning Checklist; Password &amp; Authentication Policy; Periodic Account Review / Certification Records.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 identity platform automates provisioning and inactivity disablement from an HR feed, with role-based entitlements, logging, and periodic certification. IT confirms high-risk removals manually.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i w:val="0"/>
                <w:iCs/>
                <w:sz w:val="24"/>
                <w:szCs w:val="24"/>
              </w:rPr>
              <w:t xml:space="preserve">NENA-STA-040.2-2024: §6.2, §6.2.1, §6.2.1.4</w:t>
            </w:r>
          </w:p>
          <w:p>
            <w:pPr>
              <w:spacing w:after="40" w:before="0"/>
            </w:pPr>
            <w:r>
              <w:rPr>
                <w:rFonts w:ascii="Aptos" w:cs="Aptos" w:eastAsia="Aptos" w:hAnsi="Aptos"/>
                <w:b w:val="0"/>
                <w:bCs/>
                <w:i w:val="0"/>
                <w:iCs/>
                <w:sz w:val="24"/>
                <w:szCs w:val="24"/>
              </w:rPr>
              <w:t xml:space="preserve">NIST SP 800-53 Rev. 5: AC-2, AC-2(3), IA-4, PS-4, PS-5</w:t>
            </w:r>
          </w:p>
          <w:p>
            <w:pPr>
              <w:spacing w:after="40" w:before="0"/>
            </w:pPr>
            <w:r>
              <w:rPr>
                <w:rFonts w:ascii="Aptos" w:cs="Aptos" w:eastAsia="Aptos" w:hAnsi="Aptos"/>
                <w:b w:val="0"/>
                <w:bCs/>
                <w:i w:val="0"/>
                <w:iCs/>
                <w:sz w:val="24"/>
                <w:szCs w:val="24"/>
              </w:rPr>
              <w:t xml:space="preserve">Indiana statutes and administrative code: 240 IAC 5 (IDACS)</w:t>
            </w:r>
          </w:p>
          <w:p>
            <w:pPr>
              <w:spacing w:after="40" w:before="0"/>
            </w:pPr>
            <w:r>
              <w:rPr>
                <w:rFonts w:ascii="Aptos" w:cs="Aptos" w:eastAsia="Aptos" w:hAnsi="Aptos"/>
                <w:b w:val="0"/>
                <w:bCs/>
                <w:i w:val="0"/>
                <w:iCs/>
                <w:sz w:val="24"/>
                <w:szCs w:val="24"/>
              </w:rPr>
              <w:t xml:space="preserve">CJIS Security Policy v5.9: §5.5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2026-03-15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Sam Whitfield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Sam Whitfield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2026-03-15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2026-03-15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tririver.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Account Provisioning &amp; Deprovisioning Procedures - EXAMPLE - L</dc:title>
</cp:coreProperties>
</file>

<file path=docProps/custom.xml><?xml version="1.0" encoding="utf-8"?>
<Properties xmlns="http://schemas.openxmlformats.org/officeDocument/2006/custom-properties" xmlns:vt="http://schemas.openxmlformats.org/officeDocument/2006/docPropsVTypes"/>
</file>